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D1" w:rsidRDefault="00E93809" w:rsidP="00CC43D1">
      <w:pPr>
        <w:tabs>
          <w:tab w:val="left" w:pos="1440"/>
          <w:tab w:val="left" w:pos="3060"/>
          <w:tab w:val="left" w:pos="3240"/>
        </w:tabs>
        <w:rPr>
          <w:b/>
        </w:rPr>
      </w:pPr>
      <w:r>
        <w:rPr>
          <w:b/>
          <w:noProof/>
        </w:rPr>
        <w:drawing>
          <wp:inline distT="0" distB="0" distL="0" distR="0">
            <wp:extent cx="2009775" cy="752475"/>
            <wp:effectExtent l="19050" t="0" r="9525" b="0"/>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6"/>
                    <a:srcRect/>
                    <a:stretch>
                      <a:fillRect/>
                    </a:stretch>
                  </pic:blipFill>
                  <pic:spPr bwMode="auto">
                    <a:xfrm>
                      <a:off x="0" y="0"/>
                      <a:ext cx="2009775" cy="752475"/>
                    </a:xfrm>
                    <a:prstGeom prst="rect">
                      <a:avLst/>
                    </a:prstGeom>
                    <a:noFill/>
                    <a:ln w="9525">
                      <a:noFill/>
                      <a:miter lim="800000"/>
                      <a:headEnd/>
                      <a:tailEnd/>
                    </a:ln>
                  </pic:spPr>
                </pic:pic>
              </a:graphicData>
            </a:graphic>
          </wp:inline>
        </w:drawing>
      </w:r>
    </w:p>
    <w:p w:rsidR="00CC43D1" w:rsidRDefault="00CC43D1" w:rsidP="00CC43D1">
      <w:pPr>
        <w:tabs>
          <w:tab w:val="left" w:pos="1440"/>
          <w:tab w:val="left" w:pos="3060"/>
          <w:tab w:val="left" w:pos="3240"/>
        </w:tabs>
        <w:rPr>
          <w:sz w:val="22"/>
        </w:rPr>
      </w:pPr>
    </w:p>
    <w:p w:rsidR="00CC43D1" w:rsidRPr="00BC323A" w:rsidRDefault="00CC43D1" w:rsidP="00CC43D1">
      <w:pPr>
        <w:tabs>
          <w:tab w:val="left" w:pos="1440"/>
          <w:tab w:val="left" w:pos="3060"/>
          <w:tab w:val="left" w:pos="3240"/>
        </w:tabs>
        <w:rPr>
          <w:rFonts w:ascii="Arial" w:hAnsi="Arial" w:cs="Arial"/>
          <w:sz w:val="22"/>
        </w:rPr>
      </w:pPr>
      <w:r w:rsidRPr="00BC323A">
        <w:rPr>
          <w:rFonts w:ascii="Arial" w:hAnsi="Arial" w:cs="Arial"/>
          <w:sz w:val="22"/>
        </w:rPr>
        <w:t>FOR IMMEDIATE RELEASE</w:t>
      </w:r>
    </w:p>
    <w:p w:rsidR="00CC43D1" w:rsidRPr="00BC323A" w:rsidRDefault="00CC43D1" w:rsidP="00CC43D1">
      <w:pPr>
        <w:tabs>
          <w:tab w:val="left" w:pos="1440"/>
          <w:tab w:val="left" w:pos="3060"/>
          <w:tab w:val="left" w:pos="3240"/>
        </w:tabs>
        <w:rPr>
          <w:rFonts w:ascii="Arial" w:hAnsi="Arial" w:cs="Arial"/>
          <w:sz w:val="22"/>
        </w:rPr>
      </w:pPr>
    </w:p>
    <w:p w:rsidR="00991B04" w:rsidRPr="00BC323A" w:rsidRDefault="00991B04" w:rsidP="00991B04">
      <w:pPr>
        <w:tabs>
          <w:tab w:val="left" w:pos="990"/>
        </w:tabs>
        <w:rPr>
          <w:rFonts w:ascii="Arial" w:hAnsi="Arial" w:cs="Arial"/>
          <w:sz w:val="22"/>
        </w:rPr>
      </w:pPr>
      <w:r w:rsidRPr="00BC323A">
        <w:rPr>
          <w:rFonts w:ascii="Arial" w:hAnsi="Arial" w:cs="Arial"/>
          <w:sz w:val="22"/>
        </w:rPr>
        <w:t>Contact:</w:t>
      </w:r>
      <w:r w:rsidRPr="00BC323A">
        <w:rPr>
          <w:rFonts w:ascii="Arial" w:hAnsi="Arial" w:cs="Arial"/>
          <w:sz w:val="22"/>
        </w:rPr>
        <w:tab/>
      </w:r>
      <w:r w:rsidR="000F4A8D" w:rsidRPr="00BC323A">
        <w:rPr>
          <w:rFonts w:ascii="Arial" w:hAnsi="Arial" w:cs="Arial"/>
          <w:sz w:val="22"/>
        </w:rPr>
        <w:t>Al Rickard</w:t>
      </w:r>
    </w:p>
    <w:p w:rsidR="000F4A8D" w:rsidRPr="00BC323A" w:rsidRDefault="000F4A8D" w:rsidP="00991B04">
      <w:pPr>
        <w:tabs>
          <w:tab w:val="left" w:pos="990"/>
        </w:tabs>
        <w:rPr>
          <w:rFonts w:ascii="Arial" w:hAnsi="Arial" w:cs="Arial"/>
          <w:sz w:val="22"/>
        </w:rPr>
      </w:pPr>
      <w:r w:rsidRPr="00BC323A">
        <w:rPr>
          <w:rFonts w:ascii="Arial" w:hAnsi="Arial" w:cs="Arial"/>
          <w:sz w:val="22"/>
        </w:rPr>
        <w:tab/>
        <w:t>703-402-9713</w:t>
      </w:r>
    </w:p>
    <w:p w:rsidR="00991B04" w:rsidRPr="00DB128C" w:rsidRDefault="000F4A8D" w:rsidP="00DB128C">
      <w:pPr>
        <w:tabs>
          <w:tab w:val="left" w:pos="990"/>
        </w:tabs>
        <w:rPr>
          <w:rFonts w:ascii="Arial" w:hAnsi="Arial" w:cs="Arial"/>
          <w:sz w:val="22"/>
        </w:rPr>
      </w:pPr>
      <w:r w:rsidRPr="00BC323A">
        <w:rPr>
          <w:rFonts w:ascii="Arial" w:hAnsi="Arial" w:cs="Arial"/>
          <w:sz w:val="22"/>
        </w:rPr>
        <w:tab/>
        <w:t>arickard@associationvision.com</w:t>
      </w:r>
    </w:p>
    <w:p w:rsidR="00A82714" w:rsidRDefault="00A82714" w:rsidP="007204D0">
      <w:pPr>
        <w:jc w:val="center"/>
        <w:rPr>
          <w:rFonts w:ascii="Arial" w:hAnsi="Arial" w:cs="Arial"/>
          <w:b/>
          <w:sz w:val="44"/>
          <w:szCs w:val="44"/>
        </w:rPr>
      </w:pPr>
    </w:p>
    <w:p w:rsidR="004328FF" w:rsidRPr="00BC323A" w:rsidRDefault="00192B51" w:rsidP="007204D0">
      <w:pPr>
        <w:jc w:val="center"/>
        <w:rPr>
          <w:rFonts w:ascii="Arial" w:hAnsi="Arial" w:cs="Arial"/>
          <w:b/>
          <w:sz w:val="44"/>
          <w:szCs w:val="44"/>
        </w:rPr>
      </w:pPr>
      <w:r w:rsidRPr="00BC323A">
        <w:rPr>
          <w:rFonts w:ascii="Arial" w:hAnsi="Arial" w:cs="Arial"/>
          <w:b/>
          <w:sz w:val="44"/>
          <w:szCs w:val="44"/>
        </w:rPr>
        <w:t xml:space="preserve">Year-End Tax </w:t>
      </w:r>
      <w:r w:rsidR="000B0D83" w:rsidRPr="00BC323A">
        <w:rPr>
          <w:rFonts w:ascii="Arial" w:hAnsi="Arial" w:cs="Arial"/>
          <w:b/>
          <w:sz w:val="44"/>
          <w:szCs w:val="44"/>
        </w:rPr>
        <w:t>Tips</w:t>
      </w:r>
      <w:r w:rsidR="007204D0" w:rsidRPr="00BC323A">
        <w:rPr>
          <w:rFonts w:ascii="Arial" w:hAnsi="Arial" w:cs="Arial"/>
          <w:b/>
          <w:sz w:val="44"/>
          <w:szCs w:val="44"/>
        </w:rPr>
        <w:t xml:space="preserve"> </w:t>
      </w:r>
      <w:r w:rsidR="004328FF" w:rsidRPr="00BC323A">
        <w:rPr>
          <w:rFonts w:ascii="Arial" w:hAnsi="Arial" w:cs="Arial"/>
          <w:b/>
          <w:sz w:val="44"/>
          <w:szCs w:val="44"/>
        </w:rPr>
        <w:t xml:space="preserve">for </w:t>
      </w:r>
      <w:r w:rsidR="0022727C" w:rsidRPr="00BC323A">
        <w:rPr>
          <w:rFonts w:ascii="Arial" w:hAnsi="Arial" w:cs="Arial"/>
          <w:b/>
          <w:sz w:val="44"/>
          <w:szCs w:val="44"/>
        </w:rPr>
        <w:t>Businesses</w:t>
      </w:r>
      <w:r w:rsidR="004328FF" w:rsidRPr="00BC323A">
        <w:rPr>
          <w:rFonts w:ascii="Arial" w:hAnsi="Arial" w:cs="Arial"/>
          <w:b/>
          <w:sz w:val="44"/>
          <w:szCs w:val="44"/>
        </w:rPr>
        <w:t xml:space="preserve"> From</w:t>
      </w:r>
    </w:p>
    <w:p w:rsidR="000B0D83" w:rsidRPr="00BC323A" w:rsidRDefault="004328FF" w:rsidP="004328FF">
      <w:pPr>
        <w:jc w:val="center"/>
        <w:rPr>
          <w:rFonts w:ascii="Arial" w:hAnsi="Arial" w:cs="Arial"/>
          <w:b/>
          <w:sz w:val="44"/>
          <w:szCs w:val="44"/>
        </w:rPr>
      </w:pPr>
      <w:r w:rsidRPr="00BC323A">
        <w:rPr>
          <w:rFonts w:ascii="Arial" w:hAnsi="Arial" w:cs="Arial"/>
          <w:b/>
          <w:sz w:val="44"/>
          <w:szCs w:val="44"/>
        </w:rPr>
        <w:t>T</w:t>
      </w:r>
      <w:r w:rsidR="00FC1915" w:rsidRPr="00BC323A">
        <w:rPr>
          <w:rFonts w:ascii="Arial" w:hAnsi="Arial" w:cs="Arial"/>
          <w:b/>
          <w:sz w:val="44"/>
          <w:szCs w:val="44"/>
        </w:rPr>
        <w:t>he</w:t>
      </w:r>
      <w:r w:rsidRPr="00BC323A">
        <w:rPr>
          <w:rFonts w:ascii="Arial" w:hAnsi="Arial" w:cs="Arial"/>
          <w:b/>
          <w:sz w:val="44"/>
          <w:szCs w:val="44"/>
        </w:rPr>
        <w:t xml:space="preserve"> </w:t>
      </w:r>
      <w:r w:rsidR="000B0D83" w:rsidRPr="00BC323A">
        <w:rPr>
          <w:rFonts w:ascii="Arial" w:hAnsi="Arial" w:cs="Arial"/>
          <w:b/>
          <w:sz w:val="44"/>
          <w:szCs w:val="44"/>
        </w:rPr>
        <w:t>National Society of Accountants</w:t>
      </w:r>
    </w:p>
    <w:p w:rsidR="00C94621" w:rsidRPr="00BC323A" w:rsidRDefault="00C94621">
      <w:pPr>
        <w:rPr>
          <w:rFonts w:ascii="Arial" w:hAnsi="Arial" w:cs="Arial"/>
        </w:rPr>
      </w:pPr>
    </w:p>
    <w:p w:rsidR="00DD2B5E" w:rsidRPr="00DB128C" w:rsidRDefault="000B0D83" w:rsidP="00E27836">
      <w:pPr>
        <w:pStyle w:val="BodyText"/>
        <w:spacing w:line="240" w:lineRule="auto"/>
        <w:rPr>
          <w:rFonts w:ascii="Arial" w:hAnsi="Arial" w:cs="Arial"/>
          <w:szCs w:val="24"/>
        </w:rPr>
      </w:pPr>
      <w:r w:rsidRPr="00DB128C">
        <w:rPr>
          <w:rFonts w:ascii="Arial" w:hAnsi="Arial" w:cs="Arial"/>
          <w:szCs w:val="24"/>
        </w:rPr>
        <w:t>ALEXANDRIA, VA</w:t>
      </w:r>
      <w:r w:rsidR="004E3A29" w:rsidRPr="00DB128C">
        <w:rPr>
          <w:rFonts w:ascii="Arial" w:hAnsi="Arial" w:cs="Arial"/>
          <w:szCs w:val="24"/>
        </w:rPr>
        <w:t xml:space="preserve">, </w:t>
      </w:r>
      <w:r w:rsidR="00BC323A" w:rsidRPr="00DB128C">
        <w:rPr>
          <w:rFonts w:ascii="Arial" w:hAnsi="Arial" w:cs="Arial"/>
          <w:szCs w:val="24"/>
        </w:rPr>
        <w:t xml:space="preserve">November </w:t>
      </w:r>
      <w:r w:rsidR="00046140">
        <w:rPr>
          <w:rFonts w:ascii="Arial" w:hAnsi="Arial" w:cs="Arial"/>
          <w:szCs w:val="24"/>
        </w:rPr>
        <w:t>21</w:t>
      </w:r>
      <w:r w:rsidR="008E51E2" w:rsidRPr="00DB128C">
        <w:rPr>
          <w:rFonts w:ascii="Arial" w:hAnsi="Arial" w:cs="Arial"/>
          <w:szCs w:val="24"/>
        </w:rPr>
        <w:t>, 201</w:t>
      </w:r>
      <w:r w:rsidR="00A82714" w:rsidRPr="00DB128C">
        <w:rPr>
          <w:rFonts w:ascii="Arial" w:hAnsi="Arial" w:cs="Arial"/>
          <w:szCs w:val="24"/>
        </w:rPr>
        <w:t>3</w:t>
      </w:r>
      <w:r w:rsidR="00991B04" w:rsidRPr="00DB128C">
        <w:rPr>
          <w:rFonts w:ascii="Arial" w:hAnsi="Arial" w:cs="Arial"/>
          <w:szCs w:val="24"/>
        </w:rPr>
        <w:t xml:space="preserve"> </w:t>
      </w:r>
      <w:r w:rsidR="00CC43D1" w:rsidRPr="00DB128C">
        <w:rPr>
          <w:rFonts w:ascii="Arial" w:hAnsi="Arial" w:cs="Arial"/>
          <w:szCs w:val="24"/>
        </w:rPr>
        <w:t xml:space="preserve">— </w:t>
      </w:r>
      <w:r w:rsidR="003768E7" w:rsidRPr="00DB128C">
        <w:rPr>
          <w:rFonts w:ascii="Arial" w:hAnsi="Arial" w:cs="Arial"/>
          <w:szCs w:val="24"/>
        </w:rPr>
        <w:t>Year-end tax planning can be</w:t>
      </w:r>
      <w:r w:rsidR="00DD2B5E" w:rsidRPr="00DB128C">
        <w:rPr>
          <w:rFonts w:ascii="Arial" w:hAnsi="Arial" w:cs="Arial"/>
          <w:szCs w:val="24"/>
        </w:rPr>
        <w:t xml:space="preserve"> </w:t>
      </w:r>
      <w:r w:rsidR="003768E7" w:rsidRPr="00DB128C">
        <w:rPr>
          <w:rFonts w:ascii="Arial" w:hAnsi="Arial" w:cs="Arial"/>
          <w:szCs w:val="24"/>
        </w:rPr>
        <w:t>challenging</w:t>
      </w:r>
      <w:r w:rsidR="00DD2B5E" w:rsidRPr="00DB128C">
        <w:rPr>
          <w:rFonts w:ascii="Arial" w:hAnsi="Arial" w:cs="Arial"/>
          <w:szCs w:val="24"/>
        </w:rPr>
        <w:t xml:space="preserve"> </w:t>
      </w:r>
      <w:r w:rsidR="003768E7" w:rsidRPr="00DB128C">
        <w:rPr>
          <w:rFonts w:ascii="Arial" w:hAnsi="Arial" w:cs="Arial"/>
          <w:szCs w:val="24"/>
        </w:rPr>
        <w:t>for even the most organized businesses</w:t>
      </w:r>
      <w:r w:rsidR="00DD2B5E" w:rsidRPr="00DB128C">
        <w:rPr>
          <w:rFonts w:ascii="Arial" w:hAnsi="Arial" w:cs="Arial"/>
          <w:szCs w:val="24"/>
        </w:rPr>
        <w:t>.</w:t>
      </w:r>
    </w:p>
    <w:p w:rsidR="00DD2B5E" w:rsidRPr="00DB128C" w:rsidRDefault="00DD2B5E" w:rsidP="00E27836">
      <w:pPr>
        <w:pStyle w:val="BodyText"/>
        <w:spacing w:line="240" w:lineRule="auto"/>
        <w:rPr>
          <w:rFonts w:ascii="Arial" w:hAnsi="Arial" w:cs="Arial"/>
          <w:szCs w:val="24"/>
        </w:rPr>
      </w:pPr>
      <w:bookmarkStart w:id="0" w:name="_GoBack"/>
      <w:bookmarkEnd w:id="0"/>
    </w:p>
    <w:p w:rsidR="00E27836" w:rsidRPr="00DB128C" w:rsidRDefault="00E27836" w:rsidP="00E27836">
      <w:pPr>
        <w:pStyle w:val="BodyText"/>
        <w:tabs>
          <w:tab w:val="clear" w:pos="-1080"/>
          <w:tab w:val="clear" w:pos="540"/>
          <w:tab w:val="clear" w:pos="1620"/>
        </w:tabs>
        <w:spacing w:line="240" w:lineRule="auto"/>
        <w:rPr>
          <w:rFonts w:ascii="Arial" w:hAnsi="Arial" w:cs="Arial"/>
          <w:szCs w:val="24"/>
        </w:rPr>
      </w:pPr>
      <w:r w:rsidRPr="00DB128C">
        <w:rPr>
          <w:rFonts w:ascii="Arial" w:hAnsi="Arial" w:cs="Arial"/>
          <w:szCs w:val="24"/>
        </w:rPr>
        <w:t>This year end</w:t>
      </w:r>
      <w:r w:rsidR="00E91E5E" w:rsidRPr="00DB128C">
        <w:rPr>
          <w:rFonts w:ascii="Arial" w:hAnsi="Arial" w:cs="Arial"/>
          <w:szCs w:val="24"/>
        </w:rPr>
        <w:t>, however,</w:t>
      </w:r>
      <w:r w:rsidRPr="00DB128C">
        <w:rPr>
          <w:rFonts w:ascii="Arial" w:hAnsi="Arial" w:cs="Arial"/>
          <w:szCs w:val="24"/>
        </w:rPr>
        <w:t xml:space="preserve"> provides unique opportunities for business</w:t>
      </w:r>
      <w:r w:rsidR="00362A1B" w:rsidRPr="00DB128C">
        <w:rPr>
          <w:rFonts w:ascii="Arial" w:hAnsi="Arial" w:cs="Arial"/>
          <w:szCs w:val="24"/>
        </w:rPr>
        <w:t>es</w:t>
      </w:r>
      <w:r w:rsidRPr="00DB128C">
        <w:rPr>
          <w:rFonts w:ascii="Arial" w:hAnsi="Arial" w:cs="Arial"/>
          <w:szCs w:val="24"/>
        </w:rPr>
        <w:t xml:space="preserve"> to reassess their plan </w:t>
      </w:r>
      <w:r w:rsidR="00E91E5E" w:rsidRPr="00DB128C">
        <w:rPr>
          <w:rFonts w:ascii="Arial" w:hAnsi="Arial" w:cs="Arial"/>
          <w:szCs w:val="24"/>
        </w:rPr>
        <w:t xml:space="preserve">to </w:t>
      </w:r>
      <w:r w:rsidRPr="00DB128C">
        <w:rPr>
          <w:rFonts w:ascii="Arial" w:hAnsi="Arial" w:cs="Arial"/>
          <w:szCs w:val="24"/>
        </w:rPr>
        <w:t>maximiz</w:t>
      </w:r>
      <w:r w:rsidR="00E91E5E" w:rsidRPr="00DB128C">
        <w:rPr>
          <w:rFonts w:ascii="Arial" w:hAnsi="Arial" w:cs="Arial"/>
          <w:szCs w:val="24"/>
        </w:rPr>
        <w:t>e</w:t>
      </w:r>
      <w:r w:rsidRPr="00DB128C">
        <w:rPr>
          <w:rFonts w:ascii="Arial" w:hAnsi="Arial" w:cs="Arial"/>
          <w:szCs w:val="24"/>
        </w:rPr>
        <w:t xml:space="preserve"> tax savings for the 2013 tax year and for 2014 and beyond.</w:t>
      </w:r>
    </w:p>
    <w:p w:rsidR="00E27836" w:rsidRPr="00DB128C" w:rsidRDefault="00E27836" w:rsidP="00E27836">
      <w:pPr>
        <w:pStyle w:val="BodyText"/>
        <w:tabs>
          <w:tab w:val="clear" w:pos="-1080"/>
          <w:tab w:val="clear" w:pos="540"/>
          <w:tab w:val="clear" w:pos="1620"/>
        </w:tabs>
        <w:spacing w:line="240" w:lineRule="auto"/>
        <w:rPr>
          <w:rFonts w:ascii="Arial" w:hAnsi="Arial" w:cs="Arial"/>
          <w:szCs w:val="24"/>
        </w:rPr>
      </w:pPr>
    </w:p>
    <w:p w:rsidR="00E91E5E" w:rsidRPr="00DB128C" w:rsidRDefault="00E27836" w:rsidP="00E30A76">
      <w:pPr>
        <w:pStyle w:val="BodyText"/>
        <w:tabs>
          <w:tab w:val="clear" w:pos="-1080"/>
          <w:tab w:val="clear" w:pos="540"/>
          <w:tab w:val="clear" w:pos="1620"/>
        </w:tabs>
        <w:spacing w:line="240" w:lineRule="auto"/>
        <w:rPr>
          <w:rFonts w:ascii="Arial" w:hAnsi="Arial" w:cs="Arial"/>
          <w:szCs w:val="24"/>
        </w:rPr>
      </w:pPr>
      <w:r w:rsidRPr="00DB128C">
        <w:rPr>
          <w:rFonts w:ascii="Arial" w:hAnsi="Arial" w:cs="Arial"/>
          <w:szCs w:val="24"/>
        </w:rPr>
        <w:t>This year</w:t>
      </w:r>
      <w:r w:rsidR="00E91E5E" w:rsidRPr="00DB128C">
        <w:rPr>
          <w:rFonts w:ascii="Arial" w:hAnsi="Arial" w:cs="Arial"/>
          <w:szCs w:val="24"/>
        </w:rPr>
        <w:t xml:space="preserve"> </w:t>
      </w:r>
      <w:r w:rsidRPr="00DB128C">
        <w:rPr>
          <w:rFonts w:ascii="Arial" w:hAnsi="Arial" w:cs="Arial"/>
          <w:szCs w:val="24"/>
        </w:rPr>
        <w:t xml:space="preserve">shareholders and other business owners face a </w:t>
      </w:r>
      <w:r w:rsidR="00E91E5E" w:rsidRPr="00DB128C">
        <w:rPr>
          <w:rFonts w:ascii="Arial" w:hAnsi="Arial" w:cs="Arial"/>
          <w:szCs w:val="24"/>
        </w:rPr>
        <w:t>new landscape of tax rates for higher income</w:t>
      </w:r>
      <w:r w:rsidRPr="00DB128C">
        <w:rPr>
          <w:rFonts w:ascii="Arial" w:hAnsi="Arial" w:cs="Arial"/>
          <w:szCs w:val="24"/>
        </w:rPr>
        <w:t xml:space="preserve"> individuals</w:t>
      </w:r>
      <w:r w:rsidR="00E91E5E" w:rsidRPr="00DB128C">
        <w:rPr>
          <w:rFonts w:ascii="Arial" w:hAnsi="Arial" w:cs="Arial"/>
          <w:szCs w:val="24"/>
        </w:rPr>
        <w:t xml:space="preserve">: </w:t>
      </w:r>
      <w:r w:rsidRPr="00DB128C">
        <w:rPr>
          <w:rFonts w:ascii="Arial" w:hAnsi="Arial" w:cs="Arial"/>
          <w:szCs w:val="24"/>
        </w:rPr>
        <w:t>a 39.6 percent income tax rate, a 20 percent maximum tax rate on capital gains and dividends, a 3.8 pe</w:t>
      </w:r>
      <w:r w:rsidR="00E91E5E" w:rsidRPr="00DB128C">
        <w:rPr>
          <w:rFonts w:ascii="Arial" w:hAnsi="Arial" w:cs="Arial"/>
          <w:szCs w:val="24"/>
        </w:rPr>
        <w:t>rcent net investment income tax</w:t>
      </w:r>
      <w:r w:rsidRPr="00DB128C">
        <w:rPr>
          <w:rFonts w:ascii="Arial" w:hAnsi="Arial" w:cs="Arial"/>
          <w:szCs w:val="24"/>
        </w:rPr>
        <w:t xml:space="preserve"> and a 0.9 percent Medicare compensation surtax.</w:t>
      </w:r>
      <w:r w:rsidR="00E30A76" w:rsidRPr="00DB128C">
        <w:rPr>
          <w:rFonts w:ascii="Arial" w:hAnsi="Arial" w:cs="Arial"/>
          <w:szCs w:val="24"/>
        </w:rPr>
        <w:t xml:space="preserve"> </w:t>
      </w:r>
      <w:r w:rsidR="00E91E5E" w:rsidRPr="00DB128C">
        <w:rPr>
          <w:rFonts w:ascii="Arial" w:hAnsi="Arial" w:cs="Arial"/>
          <w:szCs w:val="24"/>
        </w:rPr>
        <w:t>New as well are requirements and opportunities surrounding the tax treatment of repairs, improvements, acquisition costs and other common business expenses.</w:t>
      </w:r>
    </w:p>
    <w:p w:rsidR="00E91E5E" w:rsidRPr="00DB128C" w:rsidRDefault="00E91E5E" w:rsidP="00E91E5E">
      <w:pPr>
        <w:pStyle w:val="HTMLPreformatted"/>
        <w:rPr>
          <w:rFonts w:ascii="Arial" w:hAnsi="Arial" w:cs="Arial"/>
          <w:sz w:val="24"/>
          <w:szCs w:val="24"/>
        </w:rPr>
      </w:pPr>
    </w:p>
    <w:p w:rsidR="00E91E5E" w:rsidRPr="00DB128C" w:rsidRDefault="00E91E5E" w:rsidP="00E91E5E">
      <w:pPr>
        <w:pStyle w:val="HTMLPreformatted"/>
        <w:rPr>
          <w:rFonts w:ascii="Arial" w:hAnsi="Arial" w:cs="Arial"/>
          <w:sz w:val="24"/>
          <w:szCs w:val="24"/>
        </w:rPr>
      </w:pPr>
      <w:r w:rsidRPr="00DB128C">
        <w:rPr>
          <w:rFonts w:ascii="Arial" w:hAnsi="Arial" w:cs="Arial"/>
          <w:sz w:val="24"/>
          <w:szCs w:val="24"/>
        </w:rPr>
        <w:t>Some usual tax breaks for businesses may end with 2013 if Congress does not renew them</w:t>
      </w:r>
      <w:r w:rsidR="00E30A76" w:rsidRPr="00DB128C">
        <w:rPr>
          <w:rFonts w:ascii="Arial" w:hAnsi="Arial" w:cs="Arial"/>
          <w:sz w:val="24"/>
          <w:szCs w:val="24"/>
        </w:rPr>
        <w:t xml:space="preserve">, such as </w:t>
      </w:r>
      <w:r w:rsidRPr="00DB128C">
        <w:rPr>
          <w:rFonts w:ascii="Arial" w:hAnsi="Arial" w:cs="Arial"/>
          <w:sz w:val="24"/>
          <w:szCs w:val="24"/>
        </w:rPr>
        <w:t>bonus depreciation, e</w:t>
      </w:r>
      <w:r w:rsidR="00362A1B" w:rsidRPr="00DB128C">
        <w:rPr>
          <w:rFonts w:ascii="Arial" w:hAnsi="Arial" w:cs="Arial"/>
          <w:sz w:val="24"/>
          <w:szCs w:val="24"/>
        </w:rPr>
        <w:t>nhanced “S</w:t>
      </w:r>
      <w:r w:rsidRPr="00DB128C">
        <w:rPr>
          <w:rFonts w:ascii="Arial" w:hAnsi="Arial" w:cs="Arial"/>
          <w:sz w:val="24"/>
          <w:szCs w:val="24"/>
        </w:rPr>
        <w:t xml:space="preserve">ection 179” expensing and a </w:t>
      </w:r>
      <w:proofErr w:type="spellStart"/>
      <w:r w:rsidRPr="00DB128C">
        <w:rPr>
          <w:rFonts w:ascii="Arial" w:hAnsi="Arial" w:cs="Arial"/>
          <w:sz w:val="24"/>
          <w:szCs w:val="24"/>
        </w:rPr>
        <w:t>sunsetting</w:t>
      </w:r>
      <w:proofErr w:type="spellEnd"/>
      <w:r w:rsidRPr="00DB128C">
        <w:rPr>
          <w:rFonts w:ascii="Arial" w:hAnsi="Arial" w:cs="Arial"/>
          <w:sz w:val="24"/>
          <w:szCs w:val="24"/>
        </w:rPr>
        <w:t xml:space="preserve"> work opportunity credit.</w:t>
      </w:r>
    </w:p>
    <w:p w:rsidR="00E91E5E" w:rsidRPr="00DB128C" w:rsidRDefault="00E91E5E" w:rsidP="00E91E5E">
      <w:pPr>
        <w:pStyle w:val="HTMLPreformatted"/>
        <w:rPr>
          <w:rFonts w:ascii="Arial" w:hAnsi="Arial" w:cs="Arial"/>
          <w:sz w:val="24"/>
          <w:szCs w:val="24"/>
        </w:rPr>
      </w:pPr>
    </w:p>
    <w:p w:rsidR="00E91E5E" w:rsidRPr="00DB128C" w:rsidRDefault="00E91E5E" w:rsidP="00E91E5E">
      <w:pPr>
        <w:pStyle w:val="HTMLPreformatted"/>
        <w:rPr>
          <w:rFonts w:ascii="Arial" w:hAnsi="Arial" w:cs="Arial"/>
          <w:sz w:val="24"/>
          <w:szCs w:val="24"/>
        </w:rPr>
      </w:pPr>
      <w:r w:rsidRPr="00DB128C">
        <w:rPr>
          <w:rFonts w:ascii="Arial" w:hAnsi="Arial" w:cs="Arial"/>
          <w:sz w:val="24"/>
          <w:szCs w:val="24"/>
        </w:rPr>
        <w:t>Finally, although the “employer mandate” under the new health</w:t>
      </w:r>
      <w:r w:rsidR="00362A1B" w:rsidRPr="00DB128C">
        <w:rPr>
          <w:rFonts w:ascii="Arial" w:hAnsi="Arial" w:cs="Arial"/>
          <w:sz w:val="24"/>
          <w:szCs w:val="24"/>
        </w:rPr>
        <w:t xml:space="preserve"> </w:t>
      </w:r>
      <w:r w:rsidRPr="00DB128C">
        <w:rPr>
          <w:rFonts w:ascii="Arial" w:hAnsi="Arial" w:cs="Arial"/>
          <w:sz w:val="24"/>
          <w:szCs w:val="24"/>
        </w:rPr>
        <w:t>care reform law was recently postponed from 2014 to 2015, now is not too early to start planning to comply with rules that will be based on employee makeup starting Jan</w:t>
      </w:r>
      <w:r w:rsidR="00362A1B" w:rsidRPr="00DB128C">
        <w:rPr>
          <w:rFonts w:ascii="Arial" w:hAnsi="Arial" w:cs="Arial"/>
          <w:sz w:val="24"/>
          <w:szCs w:val="24"/>
        </w:rPr>
        <w:t>.</w:t>
      </w:r>
      <w:r w:rsidRPr="00DB128C">
        <w:rPr>
          <w:rFonts w:ascii="Arial" w:hAnsi="Arial" w:cs="Arial"/>
          <w:sz w:val="24"/>
          <w:szCs w:val="24"/>
        </w:rPr>
        <w:t xml:space="preserve"> 1, 2014.</w:t>
      </w:r>
    </w:p>
    <w:p w:rsidR="00E91E5E" w:rsidRPr="00DB128C" w:rsidRDefault="00E91E5E" w:rsidP="00E91E5E">
      <w:pPr>
        <w:pStyle w:val="HTMLPreformatted"/>
        <w:rPr>
          <w:rFonts w:ascii="Arial" w:hAnsi="Arial" w:cs="Arial"/>
          <w:sz w:val="24"/>
          <w:szCs w:val="24"/>
        </w:rPr>
      </w:pPr>
      <w:r w:rsidRPr="00DB128C">
        <w:rPr>
          <w:rFonts w:ascii="Arial" w:hAnsi="Arial" w:cs="Arial"/>
          <w:sz w:val="24"/>
          <w:szCs w:val="24"/>
        </w:rPr>
        <w:t> </w:t>
      </w:r>
    </w:p>
    <w:p w:rsidR="00E91E5E" w:rsidRPr="00DB128C" w:rsidRDefault="00E27836" w:rsidP="00E91E5E">
      <w:pPr>
        <w:spacing w:after="120"/>
        <w:rPr>
          <w:rFonts w:ascii="Arial" w:hAnsi="Arial" w:cs="Arial"/>
        </w:rPr>
      </w:pPr>
      <w:r w:rsidRPr="00DB128C">
        <w:rPr>
          <w:rFonts w:ascii="Arial" w:hAnsi="Arial" w:cs="Arial"/>
        </w:rPr>
        <w:t xml:space="preserve">The National Society of Accountants (NSA) offers this review of tax changes and strategies for businesses, courtesy of CCH (a </w:t>
      </w:r>
      <w:proofErr w:type="spellStart"/>
      <w:r w:rsidRPr="00DB128C">
        <w:rPr>
          <w:rFonts w:ascii="Arial" w:hAnsi="Arial" w:cs="Arial"/>
        </w:rPr>
        <w:t>Wolters</w:t>
      </w:r>
      <w:proofErr w:type="spellEnd"/>
      <w:r w:rsidRPr="00DB128C">
        <w:rPr>
          <w:rFonts w:ascii="Arial" w:hAnsi="Arial" w:cs="Arial"/>
        </w:rPr>
        <w:t xml:space="preserve"> Kluwer business).</w:t>
      </w:r>
    </w:p>
    <w:p w:rsidR="00A55024" w:rsidRPr="00DB128C" w:rsidRDefault="00A55024" w:rsidP="00E91E5E">
      <w:pPr>
        <w:spacing w:after="120"/>
        <w:rPr>
          <w:rFonts w:ascii="Arial" w:hAnsi="Arial" w:cs="Arial"/>
        </w:rPr>
      </w:pPr>
    </w:p>
    <w:p w:rsidR="00E27836" w:rsidRPr="00DB128C" w:rsidRDefault="00E27836" w:rsidP="00E91E5E">
      <w:pPr>
        <w:spacing w:after="120"/>
        <w:rPr>
          <w:rFonts w:ascii="Arial" w:hAnsi="Arial" w:cs="Arial"/>
        </w:rPr>
      </w:pPr>
      <w:r w:rsidRPr="00DB128C">
        <w:rPr>
          <w:rFonts w:ascii="Arial" w:hAnsi="Arial" w:cs="Arial"/>
          <w:b/>
          <w:bCs/>
        </w:rPr>
        <w:t>Bon</w:t>
      </w:r>
      <w:r w:rsidR="00A55024" w:rsidRPr="00DB128C">
        <w:rPr>
          <w:rFonts w:ascii="Arial" w:hAnsi="Arial" w:cs="Arial"/>
          <w:b/>
          <w:bCs/>
        </w:rPr>
        <w:t>us D</w:t>
      </w:r>
      <w:r w:rsidRPr="00DB128C">
        <w:rPr>
          <w:rFonts w:ascii="Arial" w:hAnsi="Arial" w:cs="Arial"/>
          <w:b/>
          <w:bCs/>
        </w:rPr>
        <w:t>epreciation</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91E5E" w:rsidRPr="00DB128C" w:rsidRDefault="00E27836" w:rsidP="00E27836">
      <w:pPr>
        <w:pStyle w:val="HTMLPreformatted"/>
        <w:rPr>
          <w:rFonts w:ascii="Arial" w:hAnsi="Arial" w:cs="Arial"/>
          <w:sz w:val="24"/>
          <w:szCs w:val="24"/>
        </w:rPr>
      </w:pPr>
      <w:r w:rsidRPr="00DB128C">
        <w:rPr>
          <w:rFonts w:ascii="Arial" w:hAnsi="Arial" w:cs="Arial"/>
          <w:sz w:val="24"/>
          <w:szCs w:val="24"/>
        </w:rPr>
        <w:t>Bonus depreciation is scheduled to end after 2</w:t>
      </w:r>
      <w:r w:rsidR="00E91E5E" w:rsidRPr="00DB128C">
        <w:rPr>
          <w:rFonts w:ascii="Arial" w:hAnsi="Arial" w:cs="Arial"/>
          <w:sz w:val="24"/>
          <w:szCs w:val="24"/>
        </w:rPr>
        <w:t>013 if not renewed by Congress.</w:t>
      </w:r>
    </w:p>
    <w:p w:rsidR="00E91E5E" w:rsidRPr="00DB128C" w:rsidRDefault="00E91E5E" w:rsidP="00E27836">
      <w:pPr>
        <w:pStyle w:val="HTMLPreformatted"/>
        <w:rPr>
          <w:rFonts w:ascii="Arial" w:hAnsi="Arial" w:cs="Arial"/>
          <w:sz w:val="24"/>
          <w:szCs w:val="24"/>
        </w:rPr>
      </w:pPr>
    </w:p>
    <w:p w:rsidR="00E91E5E" w:rsidRPr="00DB128C" w:rsidRDefault="00E27836" w:rsidP="00E27836">
      <w:pPr>
        <w:pStyle w:val="HTMLPreformatted"/>
        <w:rPr>
          <w:rFonts w:ascii="Arial" w:hAnsi="Arial" w:cs="Arial"/>
          <w:sz w:val="24"/>
          <w:szCs w:val="24"/>
        </w:rPr>
      </w:pPr>
      <w:r w:rsidRPr="00DB128C">
        <w:rPr>
          <w:rFonts w:ascii="Arial" w:hAnsi="Arial" w:cs="Arial"/>
          <w:sz w:val="24"/>
          <w:szCs w:val="24"/>
        </w:rPr>
        <w:t>Additional 50-percent bonus depreciation was extended by the American Taxpayer Relief Act of 2012 (ATRA, signed into law on Jan</w:t>
      </w:r>
      <w:r w:rsidR="00E91E5E" w:rsidRPr="00DB128C">
        <w:rPr>
          <w:rFonts w:ascii="Arial" w:hAnsi="Arial" w:cs="Arial"/>
          <w:sz w:val="24"/>
          <w:szCs w:val="24"/>
        </w:rPr>
        <w:t xml:space="preserve">. 2, 2013) for one </w:t>
      </w:r>
      <w:r w:rsidRPr="00DB128C">
        <w:rPr>
          <w:rFonts w:ascii="Arial" w:hAnsi="Arial" w:cs="Arial"/>
          <w:sz w:val="24"/>
          <w:szCs w:val="24"/>
        </w:rPr>
        <w:t>year only and applies to qualifying property placed in service before Jan</w:t>
      </w:r>
      <w:r w:rsidR="00E91E5E" w:rsidRPr="00DB128C">
        <w:rPr>
          <w:rFonts w:ascii="Arial" w:hAnsi="Arial" w:cs="Arial"/>
          <w:sz w:val="24"/>
          <w:szCs w:val="24"/>
        </w:rPr>
        <w:t>. 1, 2014.</w:t>
      </w:r>
    </w:p>
    <w:p w:rsidR="00E91E5E" w:rsidRPr="00DB128C" w:rsidRDefault="00E91E5E"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In the case of property with a longer production period and certain non</w:t>
      </w:r>
      <w:r w:rsidR="00E30A76" w:rsidRPr="00DB128C">
        <w:rPr>
          <w:rFonts w:ascii="Arial" w:hAnsi="Arial" w:cs="Arial"/>
          <w:sz w:val="24"/>
          <w:szCs w:val="24"/>
        </w:rPr>
        <w:t>-</w:t>
      </w:r>
      <w:r w:rsidRPr="00DB128C">
        <w:rPr>
          <w:rFonts w:ascii="Arial" w:hAnsi="Arial" w:cs="Arial"/>
          <w:sz w:val="24"/>
          <w:szCs w:val="24"/>
        </w:rPr>
        <w:t>commercial aircraft, the extension also applies to property acquired before Jan</w:t>
      </w:r>
      <w:r w:rsidR="00E91E5E" w:rsidRPr="00DB128C">
        <w:rPr>
          <w:rFonts w:ascii="Arial" w:hAnsi="Arial" w:cs="Arial"/>
          <w:sz w:val="24"/>
          <w:szCs w:val="24"/>
        </w:rPr>
        <w:t>.</w:t>
      </w:r>
      <w:r w:rsidRPr="00DB128C">
        <w:rPr>
          <w:rFonts w:ascii="Arial" w:hAnsi="Arial" w:cs="Arial"/>
          <w:sz w:val="24"/>
          <w:szCs w:val="24"/>
        </w:rPr>
        <w:t xml:space="preserve"> 1, 2014</w:t>
      </w:r>
      <w:r w:rsidR="00E91E5E" w:rsidRPr="00DB128C">
        <w:rPr>
          <w:rFonts w:ascii="Arial" w:hAnsi="Arial" w:cs="Arial"/>
          <w:sz w:val="24"/>
          <w:szCs w:val="24"/>
        </w:rPr>
        <w:t>,</w:t>
      </w:r>
      <w:r w:rsidRPr="00DB128C">
        <w:rPr>
          <w:rFonts w:ascii="Arial" w:hAnsi="Arial" w:cs="Arial"/>
          <w:sz w:val="24"/>
          <w:szCs w:val="24"/>
        </w:rPr>
        <w:t xml:space="preserve"> and placed in service before Jan</w:t>
      </w:r>
      <w:r w:rsidR="00E30A76" w:rsidRPr="00DB128C">
        <w:rPr>
          <w:rFonts w:ascii="Arial" w:hAnsi="Arial" w:cs="Arial"/>
          <w:sz w:val="24"/>
          <w:szCs w:val="24"/>
        </w:rPr>
        <w:t>.</w:t>
      </w:r>
      <w:r w:rsidRPr="00DB128C">
        <w:rPr>
          <w:rFonts w:ascii="Arial" w:hAnsi="Arial" w:cs="Arial"/>
          <w:sz w:val="24"/>
          <w:szCs w:val="24"/>
        </w:rPr>
        <w:t xml:space="preserve"> 1, 2015.</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Unlike regular depreciation, a t</w:t>
      </w:r>
      <w:r w:rsidR="00E91E5E" w:rsidRPr="00DB128C">
        <w:rPr>
          <w:rFonts w:ascii="Arial" w:hAnsi="Arial" w:cs="Arial"/>
          <w:sz w:val="24"/>
          <w:szCs w:val="24"/>
        </w:rPr>
        <w:t>axpayer is entitled to the full</w:t>
      </w:r>
      <w:r w:rsidRPr="00DB128C">
        <w:rPr>
          <w:rFonts w:ascii="Arial" w:hAnsi="Arial" w:cs="Arial"/>
          <w:sz w:val="24"/>
          <w:szCs w:val="24"/>
        </w:rPr>
        <w:t xml:space="preserve"> 50-percent bonus depreciation irrespective of when during the year the asset is purchased. Year-end placed-in-service strategies therefore can provide an almost immediate “cash discount” from qualifying purchases, even when factoring in the cost of business loans to finance a portion of those purchases.</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BD7737" w:rsidRPr="00DB128C" w:rsidRDefault="00E27836" w:rsidP="00E27836">
      <w:pPr>
        <w:pStyle w:val="HTMLPreformatted"/>
        <w:rPr>
          <w:rFonts w:ascii="Arial" w:hAnsi="Arial" w:cs="Arial"/>
          <w:sz w:val="24"/>
          <w:szCs w:val="24"/>
        </w:rPr>
      </w:pPr>
      <w:r w:rsidRPr="00DB128C">
        <w:rPr>
          <w:rFonts w:ascii="Arial" w:hAnsi="Arial" w:cs="Arial"/>
          <w:sz w:val="24"/>
          <w:szCs w:val="24"/>
        </w:rPr>
        <w:t>Bonus depreciation is available only for ne</w:t>
      </w:r>
      <w:r w:rsidR="00D41DDD" w:rsidRPr="00DB128C">
        <w:rPr>
          <w:rFonts w:ascii="Arial" w:hAnsi="Arial" w:cs="Arial"/>
          <w:sz w:val="24"/>
          <w:szCs w:val="24"/>
        </w:rPr>
        <w:t>w property (i.e., property the</w:t>
      </w:r>
      <w:r w:rsidRPr="00DB128C">
        <w:rPr>
          <w:rFonts w:ascii="Arial" w:hAnsi="Arial" w:cs="Arial"/>
          <w:sz w:val="24"/>
          <w:szCs w:val="24"/>
        </w:rPr>
        <w:t xml:space="preserve"> original use </w:t>
      </w:r>
      <w:r w:rsidR="00D41DDD" w:rsidRPr="00DB128C">
        <w:rPr>
          <w:rFonts w:ascii="Arial" w:hAnsi="Arial" w:cs="Arial"/>
          <w:sz w:val="24"/>
          <w:szCs w:val="24"/>
        </w:rPr>
        <w:t xml:space="preserve">of which </w:t>
      </w:r>
      <w:r w:rsidRPr="00DB128C">
        <w:rPr>
          <w:rFonts w:ascii="Arial" w:hAnsi="Arial" w:cs="Arial"/>
          <w:sz w:val="24"/>
          <w:szCs w:val="24"/>
        </w:rPr>
        <w:t xml:space="preserve">begins with the taxpayer) </w:t>
      </w:r>
      <w:r w:rsidR="00BD7737" w:rsidRPr="00DB128C">
        <w:rPr>
          <w:rFonts w:ascii="Arial" w:hAnsi="Arial" w:cs="Arial"/>
          <w:sz w:val="24"/>
          <w:szCs w:val="24"/>
        </w:rPr>
        <w:t>that is:</w:t>
      </w:r>
    </w:p>
    <w:p w:rsidR="00D41DDD" w:rsidRPr="00DB128C" w:rsidRDefault="00D41DDD" w:rsidP="00BD7737">
      <w:pPr>
        <w:pStyle w:val="HTMLPreformatted"/>
        <w:numPr>
          <w:ilvl w:val="0"/>
          <w:numId w:val="21"/>
        </w:numPr>
        <w:rPr>
          <w:rFonts w:ascii="Arial" w:hAnsi="Arial" w:cs="Arial"/>
          <w:sz w:val="24"/>
          <w:szCs w:val="24"/>
        </w:rPr>
      </w:pPr>
      <w:r w:rsidRPr="00DB128C">
        <w:rPr>
          <w:rFonts w:ascii="Arial" w:hAnsi="Arial" w:cs="Arial"/>
          <w:sz w:val="24"/>
          <w:szCs w:val="24"/>
        </w:rPr>
        <w:t>tangible property</w:t>
      </w:r>
      <w:r w:rsidR="00BD7737" w:rsidRPr="00DB128C">
        <w:rPr>
          <w:rFonts w:ascii="Arial" w:hAnsi="Arial" w:cs="Arial"/>
          <w:sz w:val="24"/>
          <w:szCs w:val="24"/>
        </w:rPr>
        <w:t>;</w:t>
      </w:r>
    </w:p>
    <w:p w:rsidR="00D41DDD" w:rsidRPr="00DB128C" w:rsidRDefault="00D41DDD" w:rsidP="00BD7737">
      <w:pPr>
        <w:pStyle w:val="HTMLPreformatted"/>
        <w:numPr>
          <w:ilvl w:val="0"/>
          <w:numId w:val="21"/>
        </w:numPr>
        <w:rPr>
          <w:rFonts w:ascii="Arial" w:hAnsi="Arial" w:cs="Arial"/>
          <w:sz w:val="24"/>
          <w:szCs w:val="24"/>
        </w:rPr>
      </w:pPr>
      <w:r w:rsidRPr="00DB128C">
        <w:rPr>
          <w:rFonts w:ascii="Arial" w:hAnsi="Arial" w:cs="Arial"/>
          <w:sz w:val="24"/>
          <w:szCs w:val="24"/>
        </w:rPr>
        <w:t xml:space="preserve">depreciable under </w:t>
      </w:r>
      <w:r w:rsidR="00BD7737" w:rsidRPr="00DB128C">
        <w:rPr>
          <w:rFonts w:ascii="Arial" w:hAnsi="Arial" w:cs="Arial"/>
          <w:sz w:val="24"/>
          <w:szCs w:val="24"/>
        </w:rPr>
        <w:t>the Modified Accelerated Cost Recovery System (</w:t>
      </w:r>
      <w:r w:rsidRPr="00DB128C">
        <w:rPr>
          <w:rFonts w:ascii="Arial" w:hAnsi="Arial" w:cs="Arial"/>
          <w:sz w:val="24"/>
          <w:szCs w:val="24"/>
        </w:rPr>
        <w:t>MACRS</w:t>
      </w:r>
      <w:r w:rsidR="00BD7737" w:rsidRPr="00DB128C">
        <w:rPr>
          <w:rFonts w:ascii="Arial" w:hAnsi="Arial" w:cs="Arial"/>
          <w:sz w:val="24"/>
          <w:szCs w:val="24"/>
        </w:rPr>
        <w:t>)</w:t>
      </w:r>
      <w:r w:rsidRPr="00DB128C">
        <w:rPr>
          <w:rFonts w:ascii="Arial" w:hAnsi="Arial" w:cs="Arial"/>
          <w:sz w:val="24"/>
          <w:szCs w:val="24"/>
        </w:rPr>
        <w:t xml:space="preserve"> with a recovery period not exceeding 20 years;</w:t>
      </w:r>
    </w:p>
    <w:p w:rsidR="00D41DDD" w:rsidRPr="00DB128C" w:rsidRDefault="00D41DDD" w:rsidP="00BD7737">
      <w:pPr>
        <w:pStyle w:val="HTMLPreformatted"/>
        <w:numPr>
          <w:ilvl w:val="0"/>
          <w:numId w:val="21"/>
        </w:numPr>
        <w:rPr>
          <w:rFonts w:ascii="Arial" w:hAnsi="Arial" w:cs="Arial"/>
          <w:sz w:val="24"/>
          <w:szCs w:val="24"/>
        </w:rPr>
      </w:pPr>
      <w:r w:rsidRPr="00DB128C">
        <w:rPr>
          <w:rFonts w:ascii="Arial" w:hAnsi="Arial" w:cs="Arial"/>
          <w:sz w:val="24"/>
          <w:szCs w:val="24"/>
        </w:rPr>
        <w:t>purchased computer software;</w:t>
      </w:r>
    </w:p>
    <w:p w:rsidR="00D41DDD" w:rsidRPr="00DB128C" w:rsidRDefault="00D41DDD" w:rsidP="00BD7737">
      <w:pPr>
        <w:pStyle w:val="HTMLPreformatted"/>
        <w:numPr>
          <w:ilvl w:val="0"/>
          <w:numId w:val="21"/>
        </w:numPr>
        <w:rPr>
          <w:rFonts w:ascii="Arial" w:hAnsi="Arial" w:cs="Arial"/>
          <w:sz w:val="24"/>
          <w:szCs w:val="24"/>
        </w:rPr>
      </w:pPr>
      <w:r w:rsidRPr="00DB128C">
        <w:rPr>
          <w:rFonts w:ascii="Arial" w:hAnsi="Arial" w:cs="Arial"/>
          <w:sz w:val="24"/>
          <w:szCs w:val="24"/>
        </w:rPr>
        <w:t>water utility property;</w:t>
      </w:r>
      <w:r w:rsidR="00BD7737" w:rsidRPr="00DB128C">
        <w:rPr>
          <w:rFonts w:ascii="Arial" w:hAnsi="Arial" w:cs="Arial"/>
          <w:sz w:val="24"/>
          <w:szCs w:val="24"/>
        </w:rPr>
        <w:t xml:space="preserve"> or</w:t>
      </w:r>
    </w:p>
    <w:p w:rsidR="00D41DDD" w:rsidRPr="00DB128C" w:rsidRDefault="00D41DDD" w:rsidP="00BD7737">
      <w:pPr>
        <w:pStyle w:val="HTMLPreformatted"/>
        <w:numPr>
          <w:ilvl w:val="0"/>
          <w:numId w:val="21"/>
        </w:numPr>
        <w:rPr>
          <w:rFonts w:ascii="Arial" w:hAnsi="Arial" w:cs="Arial"/>
          <w:sz w:val="24"/>
          <w:szCs w:val="24"/>
        </w:rPr>
      </w:pPr>
      <w:proofErr w:type="gramStart"/>
      <w:r w:rsidRPr="00DB128C">
        <w:rPr>
          <w:rFonts w:ascii="Arial" w:hAnsi="Arial" w:cs="Arial"/>
          <w:sz w:val="24"/>
          <w:szCs w:val="24"/>
        </w:rPr>
        <w:t>qualified</w:t>
      </w:r>
      <w:proofErr w:type="gramEnd"/>
      <w:r w:rsidRPr="00DB128C">
        <w:rPr>
          <w:rFonts w:ascii="Arial" w:hAnsi="Arial" w:cs="Arial"/>
          <w:sz w:val="24"/>
          <w:szCs w:val="24"/>
        </w:rPr>
        <w:t xml:space="preserve"> leasehold improvement property.</w:t>
      </w:r>
    </w:p>
    <w:p w:rsidR="00D41DDD" w:rsidRPr="00DB128C" w:rsidRDefault="00D41DDD" w:rsidP="00D41DDD">
      <w:pPr>
        <w:pStyle w:val="HTMLPreformatted"/>
        <w:rPr>
          <w:rFonts w:ascii="Arial" w:hAnsi="Arial" w:cs="Arial"/>
          <w:sz w:val="24"/>
          <w:szCs w:val="24"/>
        </w:rPr>
      </w:pPr>
      <w:r w:rsidRPr="00DB128C">
        <w:rPr>
          <w:rFonts w:ascii="Arial" w:hAnsi="Arial" w:cs="Arial"/>
          <w:sz w:val="24"/>
          <w:szCs w:val="24"/>
        </w:rPr>
        <w:t> </w:t>
      </w:r>
    </w:p>
    <w:p w:rsidR="00BD7737" w:rsidRPr="00DB128C" w:rsidRDefault="00BD7737" w:rsidP="00BD7737">
      <w:pPr>
        <w:pStyle w:val="HTMLPreformatted"/>
        <w:rPr>
          <w:rFonts w:ascii="Arial" w:hAnsi="Arial" w:cs="Arial"/>
          <w:sz w:val="24"/>
          <w:szCs w:val="24"/>
        </w:rPr>
      </w:pPr>
      <w:r w:rsidRPr="00DB128C">
        <w:rPr>
          <w:rFonts w:ascii="Arial" w:hAnsi="Arial" w:cs="Arial"/>
          <w:sz w:val="24"/>
          <w:szCs w:val="24"/>
        </w:rPr>
        <w:t>For passenger automobiles placed in service in 2013, the deduction limitations for the first three years are $3,160 ($11,160 if bonus depreciation applies), $5,100, and $3,050, respectively, and $1,875 for each succeeding year.</w:t>
      </w:r>
    </w:p>
    <w:p w:rsidR="00BD7737" w:rsidRPr="00DB128C" w:rsidRDefault="00BD7737" w:rsidP="00BD7737">
      <w:pPr>
        <w:pStyle w:val="HTMLPreformatted"/>
        <w:rPr>
          <w:rFonts w:ascii="Arial" w:hAnsi="Arial" w:cs="Arial"/>
          <w:sz w:val="24"/>
          <w:szCs w:val="24"/>
        </w:rPr>
      </w:pPr>
    </w:p>
    <w:p w:rsidR="00BD7737" w:rsidRPr="00DB128C" w:rsidRDefault="00BD7737" w:rsidP="00BD7737">
      <w:pPr>
        <w:pStyle w:val="HTMLPreformatted"/>
        <w:rPr>
          <w:rFonts w:ascii="Arial" w:hAnsi="Arial" w:cs="Arial"/>
          <w:sz w:val="24"/>
          <w:szCs w:val="24"/>
        </w:rPr>
      </w:pPr>
      <w:r w:rsidRPr="00DB128C">
        <w:rPr>
          <w:rFonts w:ascii="Arial" w:hAnsi="Arial" w:cs="Arial"/>
          <w:sz w:val="24"/>
          <w:szCs w:val="24"/>
        </w:rPr>
        <w:t>For trucks and vans first placed in service in 2013, the deduction limitations for the first three years are $3,360 ($11,360 if bonus depreciation applies), $5,400, and $3,250, respectively, and $1,975 for each succeeding year.</w:t>
      </w:r>
    </w:p>
    <w:p w:rsidR="00BD7737" w:rsidRPr="00DB128C" w:rsidRDefault="00BD7737" w:rsidP="00BD7737">
      <w:pPr>
        <w:pStyle w:val="HTMLPreformatted"/>
        <w:rPr>
          <w:rFonts w:ascii="Arial" w:hAnsi="Arial" w:cs="Arial"/>
          <w:sz w:val="24"/>
          <w:szCs w:val="24"/>
        </w:rPr>
      </w:pPr>
      <w:r w:rsidRPr="00DB128C">
        <w:rPr>
          <w:rFonts w:ascii="Arial" w:hAnsi="Arial" w:cs="Arial"/>
          <w:sz w:val="24"/>
          <w:szCs w:val="24"/>
        </w:rPr>
        <w:t> </w:t>
      </w:r>
    </w:p>
    <w:p w:rsidR="00E30A76" w:rsidRPr="00DB128C" w:rsidRDefault="008B2A1A" w:rsidP="00E27836">
      <w:pPr>
        <w:pStyle w:val="HTMLPreformatted"/>
        <w:rPr>
          <w:rFonts w:ascii="Arial" w:hAnsi="Arial" w:cs="Arial"/>
          <w:sz w:val="24"/>
          <w:szCs w:val="24"/>
        </w:rPr>
      </w:pPr>
      <w:r w:rsidRPr="00DB128C">
        <w:rPr>
          <w:rFonts w:ascii="Arial" w:hAnsi="Arial" w:cs="Arial"/>
          <w:sz w:val="24"/>
          <w:szCs w:val="24"/>
        </w:rPr>
        <w:t>T</w:t>
      </w:r>
      <w:r w:rsidR="00E27836" w:rsidRPr="00DB128C">
        <w:rPr>
          <w:rFonts w:ascii="Arial" w:hAnsi="Arial" w:cs="Arial"/>
          <w:sz w:val="24"/>
          <w:szCs w:val="24"/>
        </w:rPr>
        <w:t xml:space="preserve">he additional $8,000 first-year depreciation cap for </w:t>
      </w:r>
      <w:r w:rsidR="00E30A76" w:rsidRPr="00DB128C">
        <w:rPr>
          <w:rFonts w:ascii="Arial" w:hAnsi="Arial" w:cs="Arial"/>
          <w:sz w:val="24"/>
          <w:szCs w:val="24"/>
        </w:rPr>
        <w:t xml:space="preserve">luxury </w:t>
      </w:r>
      <w:r w:rsidR="00E27836" w:rsidRPr="00DB128C">
        <w:rPr>
          <w:rFonts w:ascii="Arial" w:hAnsi="Arial" w:cs="Arial"/>
          <w:sz w:val="24"/>
          <w:szCs w:val="24"/>
        </w:rPr>
        <w:t>passenger automobiles to account for bonus depreciation will no longer be available for vehicles acquired and placed in service after Dec</w:t>
      </w:r>
      <w:r w:rsidRPr="00DB128C">
        <w:rPr>
          <w:rFonts w:ascii="Arial" w:hAnsi="Arial" w:cs="Arial"/>
          <w:sz w:val="24"/>
          <w:szCs w:val="24"/>
        </w:rPr>
        <w:t>.</w:t>
      </w:r>
      <w:r w:rsidR="00E30A76" w:rsidRPr="00DB128C">
        <w:rPr>
          <w:rFonts w:ascii="Arial" w:hAnsi="Arial" w:cs="Arial"/>
          <w:sz w:val="24"/>
          <w:szCs w:val="24"/>
        </w:rPr>
        <w:t xml:space="preserve"> 31, 2013.</w:t>
      </w:r>
    </w:p>
    <w:p w:rsidR="00E30A76" w:rsidRPr="00DB128C" w:rsidRDefault="00E30A76" w:rsidP="00E27836">
      <w:pPr>
        <w:pStyle w:val="HTMLPreformatted"/>
        <w:rPr>
          <w:rFonts w:ascii="Arial" w:hAnsi="Arial" w:cs="Arial"/>
          <w:sz w:val="24"/>
          <w:szCs w:val="24"/>
        </w:rPr>
      </w:pPr>
    </w:p>
    <w:p w:rsidR="008B2A1A" w:rsidRPr="00DB128C" w:rsidRDefault="00E30A76" w:rsidP="00E27836">
      <w:pPr>
        <w:pStyle w:val="HTMLPreformatted"/>
        <w:rPr>
          <w:rFonts w:ascii="Arial" w:hAnsi="Arial" w:cs="Arial"/>
          <w:sz w:val="24"/>
          <w:szCs w:val="24"/>
        </w:rPr>
      </w:pPr>
      <w:r w:rsidRPr="00DB128C">
        <w:rPr>
          <w:rFonts w:ascii="Arial" w:hAnsi="Arial" w:cs="Arial"/>
          <w:sz w:val="24"/>
          <w:szCs w:val="24"/>
        </w:rPr>
        <w:t>S</w:t>
      </w:r>
      <w:r w:rsidR="00E27836" w:rsidRPr="00DB128C">
        <w:rPr>
          <w:rFonts w:ascii="Arial" w:hAnsi="Arial" w:cs="Arial"/>
          <w:sz w:val="24"/>
          <w:szCs w:val="24"/>
        </w:rPr>
        <w:t>ome businesses</w:t>
      </w:r>
      <w:r w:rsidRPr="00DB128C">
        <w:rPr>
          <w:rFonts w:ascii="Arial" w:hAnsi="Arial" w:cs="Arial"/>
          <w:sz w:val="24"/>
          <w:szCs w:val="24"/>
        </w:rPr>
        <w:t xml:space="preserve"> may want </w:t>
      </w:r>
      <w:r w:rsidR="00E27836" w:rsidRPr="00DB128C">
        <w:rPr>
          <w:rFonts w:ascii="Arial" w:hAnsi="Arial" w:cs="Arial"/>
          <w:sz w:val="24"/>
          <w:szCs w:val="24"/>
        </w:rPr>
        <w:t>to p</w:t>
      </w:r>
      <w:r w:rsidR="008B2A1A" w:rsidRPr="00DB128C">
        <w:rPr>
          <w:rFonts w:ascii="Arial" w:hAnsi="Arial" w:cs="Arial"/>
          <w:sz w:val="24"/>
          <w:szCs w:val="24"/>
        </w:rPr>
        <w:t>urchase</w:t>
      </w:r>
      <w:r w:rsidR="00362A1B" w:rsidRPr="00DB128C">
        <w:rPr>
          <w:rFonts w:ascii="Arial" w:hAnsi="Arial" w:cs="Arial"/>
          <w:sz w:val="24"/>
          <w:szCs w:val="24"/>
        </w:rPr>
        <w:t xml:space="preserve"> vehicle</w:t>
      </w:r>
      <w:r w:rsidR="008B2A1A" w:rsidRPr="00DB128C">
        <w:rPr>
          <w:rFonts w:ascii="Arial" w:hAnsi="Arial" w:cs="Arial"/>
          <w:sz w:val="24"/>
          <w:szCs w:val="24"/>
        </w:rPr>
        <w:t xml:space="preserve"> and place </w:t>
      </w:r>
      <w:r w:rsidR="00362A1B" w:rsidRPr="00DB128C">
        <w:rPr>
          <w:rFonts w:ascii="Arial" w:hAnsi="Arial" w:cs="Arial"/>
          <w:sz w:val="24"/>
          <w:szCs w:val="24"/>
        </w:rPr>
        <w:t>it into service before year-end 2013 to avoid the loss of this depreciation.</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27836" w:rsidRPr="00DB128C" w:rsidRDefault="00E27836" w:rsidP="00E27836">
      <w:pPr>
        <w:pStyle w:val="HTMLPreformatted"/>
        <w:rPr>
          <w:rFonts w:ascii="Arial" w:hAnsi="Arial" w:cs="Arial"/>
          <w:sz w:val="24"/>
          <w:szCs w:val="24"/>
        </w:rPr>
      </w:pPr>
      <w:r w:rsidRPr="00DB128C">
        <w:rPr>
          <w:rFonts w:ascii="Arial" w:hAnsi="Arial" w:cs="Arial"/>
          <w:b/>
          <w:bCs/>
          <w:sz w:val="24"/>
          <w:szCs w:val="24"/>
        </w:rPr>
        <w:t>Code</w:t>
      </w:r>
      <w:r w:rsidR="00A55024" w:rsidRPr="00DB128C">
        <w:rPr>
          <w:rFonts w:ascii="Arial" w:hAnsi="Arial" w:cs="Arial"/>
          <w:b/>
          <w:bCs/>
          <w:sz w:val="24"/>
          <w:szCs w:val="24"/>
        </w:rPr>
        <w:t xml:space="preserve"> Section 179 E</w:t>
      </w:r>
      <w:r w:rsidRPr="00DB128C">
        <w:rPr>
          <w:rFonts w:ascii="Arial" w:hAnsi="Arial" w:cs="Arial"/>
          <w:b/>
          <w:bCs/>
          <w:sz w:val="24"/>
          <w:szCs w:val="24"/>
        </w:rPr>
        <w:t>xpensing</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8B2A1A" w:rsidRPr="00DB128C" w:rsidRDefault="00E27836" w:rsidP="00E27836">
      <w:pPr>
        <w:pStyle w:val="HTMLPreformatted"/>
        <w:rPr>
          <w:rFonts w:ascii="Arial" w:hAnsi="Arial" w:cs="Arial"/>
          <w:sz w:val="24"/>
          <w:szCs w:val="24"/>
        </w:rPr>
      </w:pPr>
      <w:r w:rsidRPr="00DB128C">
        <w:rPr>
          <w:rFonts w:ascii="Arial" w:hAnsi="Arial" w:cs="Arial"/>
          <w:sz w:val="24"/>
          <w:szCs w:val="24"/>
        </w:rPr>
        <w:t>An enhanced section 179 expense deduction is available until 2014 for taxpayers (other than estates, trusts or certain non</w:t>
      </w:r>
      <w:r w:rsidR="008B2A1A" w:rsidRPr="00DB128C">
        <w:rPr>
          <w:rFonts w:ascii="Arial" w:hAnsi="Arial" w:cs="Arial"/>
          <w:sz w:val="24"/>
          <w:szCs w:val="24"/>
        </w:rPr>
        <w:t>-</w:t>
      </w:r>
      <w:r w:rsidRPr="00DB128C">
        <w:rPr>
          <w:rFonts w:ascii="Arial" w:hAnsi="Arial" w:cs="Arial"/>
          <w:sz w:val="24"/>
          <w:szCs w:val="24"/>
        </w:rPr>
        <w:t>corporate lessors) that elect to treat the cost of qualifying property (</w:t>
      </w:r>
      <w:r w:rsidR="008B2A1A" w:rsidRPr="00DB128C">
        <w:rPr>
          <w:rFonts w:ascii="Arial" w:hAnsi="Arial" w:cs="Arial"/>
          <w:sz w:val="24"/>
          <w:szCs w:val="24"/>
        </w:rPr>
        <w:t>“</w:t>
      </w:r>
      <w:r w:rsidR="00362A1B" w:rsidRPr="00DB128C">
        <w:rPr>
          <w:rFonts w:ascii="Arial" w:hAnsi="Arial" w:cs="Arial"/>
          <w:sz w:val="24"/>
          <w:szCs w:val="24"/>
        </w:rPr>
        <w:t>S</w:t>
      </w:r>
      <w:r w:rsidRPr="00DB128C">
        <w:rPr>
          <w:rFonts w:ascii="Arial" w:hAnsi="Arial" w:cs="Arial"/>
          <w:sz w:val="24"/>
          <w:szCs w:val="24"/>
        </w:rPr>
        <w:t>ection 179 property</w:t>
      </w:r>
      <w:r w:rsidR="008B2A1A" w:rsidRPr="00DB128C">
        <w:rPr>
          <w:rFonts w:ascii="Arial" w:hAnsi="Arial" w:cs="Arial"/>
          <w:sz w:val="24"/>
          <w:szCs w:val="24"/>
        </w:rPr>
        <w:t>”</w:t>
      </w:r>
      <w:r w:rsidRPr="00DB128C">
        <w:rPr>
          <w:rFonts w:ascii="Arial" w:hAnsi="Arial" w:cs="Arial"/>
          <w:sz w:val="24"/>
          <w:szCs w:val="24"/>
        </w:rPr>
        <w:t>) as an expense rat</w:t>
      </w:r>
      <w:r w:rsidR="008B2A1A" w:rsidRPr="00DB128C">
        <w:rPr>
          <w:rFonts w:ascii="Arial" w:hAnsi="Arial" w:cs="Arial"/>
          <w:sz w:val="24"/>
          <w:szCs w:val="24"/>
        </w:rPr>
        <w:t>her than a capital expenditure.</w:t>
      </w:r>
    </w:p>
    <w:p w:rsidR="008B2A1A" w:rsidRPr="00DB128C" w:rsidRDefault="008B2A1A"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lastRenderedPageBreak/>
        <w:t>The current section 179 dollar cap for 2013 is $500,000. For tax years beginning after 2013, that limit plunge</w:t>
      </w:r>
      <w:r w:rsidR="008B2A1A" w:rsidRPr="00DB128C">
        <w:rPr>
          <w:rFonts w:ascii="Arial" w:hAnsi="Arial" w:cs="Arial"/>
          <w:sz w:val="24"/>
          <w:szCs w:val="24"/>
        </w:rPr>
        <w:t>s</w:t>
      </w:r>
      <w:r w:rsidRPr="00DB128C">
        <w:rPr>
          <w:rFonts w:ascii="Arial" w:hAnsi="Arial" w:cs="Arial"/>
          <w:sz w:val="24"/>
          <w:szCs w:val="24"/>
        </w:rPr>
        <w:t xml:space="preserve"> to $25,000 unless extended by Congress. For tax years beginning in 2013, the overall investment limitation is $2 million</w:t>
      </w:r>
      <w:r w:rsidR="00E30A76" w:rsidRPr="00DB128C">
        <w:rPr>
          <w:rFonts w:ascii="Arial" w:hAnsi="Arial" w:cs="Arial"/>
          <w:sz w:val="24"/>
          <w:szCs w:val="24"/>
        </w:rPr>
        <w:t>; t</w:t>
      </w:r>
      <w:r w:rsidRPr="00DB128C">
        <w:rPr>
          <w:rFonts w:ascii="Arial" w:hAnsi="Arial" w:cs="Arial"/>
          <w:sz w:val="24"/>
          <w:szCs w:val="24"/>
        </w:rPr>
        <w:t>hat is also scheduled to fall to $200,000 in 2014.</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30A76" w:rsidRPr="00DB128C" w:rsidRDefault="00E27836" w:rsidP="00E27836">
      <w:pPr>
        <w:pStyle w:val="HTMLPreformatted"/>
        <w:rPr>
          <w:rFonts w:ascii="Arial" w:hAnsi="Arial" w:cs="Arial"/>
          <w:sz w:val="24"/>
          <w:szCs w:val="24"/>
        </w:rPr>
      </w:pPr>
      <w:r w:rsidRPr="00DB128C">
        <w:rPr>
          <w:rFonts w:ascii="Arial" w:hAnsi="Arial" w:cs="Arial"/>
          <w:sz w:val="24"/>
          <w:szCs w:val="24"/>
        </w:rPr>
        <w:t>A taxpayer will receive the greatest benefit from Code Section 179 by expensing property that does not qualify for bonus depreciation</w:t>
      </w:r>
      <w:r w:rsidR="008B2A1A" w:rsidRPr="00DB128C">
        <w:rPr>
          <w:rFonts w:ascii="Arial" w:hAnsi="Arial" w:cs="Arial"/>
          <w:sz w:val="24"/>
          <w:szCs w:val="24"/>
        </w:rPr>
        <w:t xml:space="preserve">, such as </w:t>
      </w:r>
      <w:r w:rsidRPr="00DB128C">
        <w:rPr>
          <w:rFonts w:ascii="Arial" w:hAnsi="Arial" w:cs="Arial"/>
          <w:sz w:val="24"/>
          <w:szCs w:val="24"/>
        </w:rPr>
        <w:t>used property and property with a long MACRS depreciation period.</w:t>
      </w:r>
    </w:p>
    <w:p w:rsidR="00E30A76" w:rsidRPr="00DB128C" w:rsidRDefault="00E30A76"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xml:space="preserve">Section 179 </w:t>
      </w:r>
      <w:proofErr w:type="gramStart"/>
      <w:r w:rsidRPr="00DB128C">
        <w:rPr>
          <w:rFonts w:ascii="Arial" w:hAnsi="Arial" w:cs="Arial"/>
          <w:sz w:val="24"/>
          <w:szCs w:val="24"/>
        </w:rPr>
        <w:t>property</w:t>
      </w:r>
      <w:proofErr w:type="gramEnd"/>
      <w:r w:rsidRPr="00DB128C">
        <w:rPr>
          <w:rFonts w:ascii="Arial" w:hAnsi="Arial" w:cs="Arial"/>
          <w:sz w:val="24"/>
          <w:szCs w:val="24"/>
        </w:rPr>
        <w:t xml:space="preserve"> is generally defined as new or used depreciable tangible section 1245 property purchased for use in the active conduct of a trade or business. Off-the-shelf computer software is also included for 2013, as is qualified real property (up to $250,000). Both of these will no longer qualify for section 179 expensing after 2013, even at the lower $25,000 ceiling.</w:t>
      </w:r>
    </w:p>
    <w:p w:rsidR="00E27836" w:rsidRPr="00DB128C" w:rsidRDefault="00E27836" w:rsidP="00E27836">
      <w:pPr>
        <w:pStyle w:val="HTMLPreformatted"/>
        <w:rPr>
          <w:rFonts w:ascii="Arial" w:hAnsi="Arial" w:cs="Arial"/>
          <w:sz w:val="24"/>
          <w:szCs w:val="24"/>
        </w:rPr>
      </w:pPr>
      <w:r w:rsidRPr="00DB128C">
        <w:rPr>
          <w:rFonts w:ascii="Arial" w:hAnsi="Arial" w:cs="Arial"/>
          <w:b/>
          <w:bCs/>
          <w:i/>
          <w:iCs/>
          <w:sz w:val="24"/>
          <w:szCs w:val="24"/>
        </w:rPr>
        <w:t> </w:t>
      </w:r>
    </w:p>
    <w:p w:rsidR="00D41DDD" w:rsidRPr="00DB128C" w:rsidRDefault="00E27836" w:rsidP="00E27836">
      <w:pPr>
        <w:pStyle w:val="HTMLPreformatted"/>
        <w:rPr>
          <w:rFonts w:ascii="Arial" w:hAnsi="Arial" w:cs="Arial"/>
          <w:sz w:val="24"/>
          <w:szCs w:val="24"/>
        </w:rPr>
      </w:pPr>
      <w:r w:rsidRPr="00DB128C">
        <w:rPr>
          <w:rFonts w:ascii="Arial" w:hAnsi="Arial" w:cs="Arial"/>
          <w:sz w:val="24"/>
          <w:szCs w:val="24"/>
        </w:rPr>
        <w:t xml:space="preserve">After four years, the section 179 expensing allowance for qualified real property is scheduled to end for property placed in service after 2013. Qualified real property for expensing purposes includes leasehold improvement property, </w:t>
      </w:r>
      <w:r w:rsidR="00E30A76" w:rsidRPr="00DB128C">
        <w:rPr>
          <w:rFonts w:ascii="Arial" w:hAnsi="Arial" w:cs="Arial"/>
          <w:sz w:val="24"/>
          <w:szCs w:val="24"/>
        </w:rPr>
        <w:t>restaurant property</w:t>
      </w:r>
      <w:r w:rsidRPr="00DB128C">
        <w:rPr>
          <w:rFonts w:ascii="Arial" w:hAnsi="Arial" w:cs="Arial"/>
          <w:sz w:val="24"/>
          <w:szCs w:val="24"/>
        </w:rPr>
        <w:t xml:space="preserve"> and </w:t>
      </w:r>
      <w:r w:rsidR="00D41DDD" w:rsidRPr="00DB128C">
        <w:rPr>
          <w:rFonts w:ascii="Arial" w:hAnsi="Arial" w:cs="Arial"/>
          <w:sz w:val="24"/>
          <w:szCs w:val="24"/>
        </w:rPr>
        <w:t>retail improvement property.</w:t>
      </w:r>
    </w:p>
    <w:p w:rsidR="00D41DDD" w:rsidRPr="00DB128C" w:rsidRDefault="00D41DDD" w:rsidP="00E27836">
      <w:pPr>
        <w:pStyle w:val="HTMLPreformatted"/>
        <w:rPr>
          <w:rFonts w:ascii="Arial" w:hAnsi="Arial" w:cs="Arial"/>
          <w:sz w:val="24"/>
          <w:szCs w:val="24"/>
        </w:rPr>
      </w:pPr>
    </w:p>
    <w:p w:rsidR="00D41DDD" w:rsidRPr="00DB128C" w:rsidRDefault="00E27836" w:rsidP="00E27836">
      <w:pPr>
        <w:pStyle w:val="HTMLPreformatted"/>
        <w:rPr>
          <w:rFonts w:ascii="Arial" w:hAnsi="Arial" w:cs="Arial"/>
          <w:sz w:val="24"/>
          <w:szCs w:val="24"/>
        </w:rPr>
      </w:pPr>
      <w:r w:rsidRPr="00DB128C">
        <w:rPr>
          <w:rFonts w:ascii="Arial" w:hAnsi="Arial" w:cs="Arial"/>
          <w:sz w:val="24"/>
          <w:szCs w:val="24"/>
        </w:rPr>
        <w:t>Any amount of expensing for qualified real property disallowed by reason of the taxable income limitation, however, may not be carried forward to a tax year that begins after 2013 and must be recovered through regular depreciation deductions only.</w:t>
      </w:r>
    </w:p>
    <w:p w:rsidR="00D41DDD" w:rsidRPr="00DB128C" w:rsidRDefault="00D41DDD" w:rsidP="00E27836">
      <w:pPr>
        <w:pStyle w:val="HTMLPreformatted"/>
        <w:rPr>
          <w:rFonts w:ascii="Arial" w:hAnsi="Arial" w:cs="Arial"/>
          <w:sz w:val="24"/>
          <w:szCs w:val="24"/>
        </w:rPr>
      </w:pPr>
    </w:p>
    <w:p w:rsidR="000E3508" w:rsidRPr="00DB128C" w:rsidRDefault="000E3508" w:rsidP="000E3508">
      <w:pPr>
        <w:pStyle w:val="HTMLPreformatted"/>
        <w:rPr>
          <w:rFonts w:ascii="Arial" w:hAnsi="Arial" w:cs="Arial"/>
          <w:sz w:val="24"/>
          <w:szCs w:val="24"/>
        </w:rPr>
      </w:pPr>
      <w:r w:rsidRPr="00DB128C">
        <w:rPr>
          <w:rFonts w:ascii="Arial" w:hAnsi="Arial" w:cs="Arial"/>
          <w:b/>
          <w:bCs/>
          <w:sz w:val="24"/>
          <w:szCs w:val="24"/>
        </w:rPr>
        <w:t>Revised Repair/Capitalization Rules</w:t>
      </w:r>
    </w:p>
    <w:p w:rsidR="000E3508" w:rsidRPr="00DB128C" w:rsidRDefault="000E3508" w:rsidP="000E3508">
      <w:pPr>
        <w:pStyle w:val="HTMLPreformatted"/>
        <w:rPr>
          <w:rFonts w:ascii="Arial" w:hAnsi="Arial" w:cs="Arial"/>
          <w:sz w:val="24"/>
          <w:szCs w:val="24"/>
        </w:rPr>
      </w:pPr>
      <w:r w:rsidRPr="00DB128C">
        <w:rPr>
          <w:rFonts w:ascii="Arial" w:hAnsi="Arial" w:cs="Arial"/>
          <w:sz w:val="24"/>
          <w:szCs w:val="24"/>
        </w:rPr>
        <w:t> </w:t>
      </w:r>
    </w:p>
    <w:p w:rsidR="000E3508" w:rsidRPr="00DB128C" w:rsidRDefault="000E3508" w:rsidP="000E3508">
      <w:pPr>
        <w:pStyle w:val="HTMLPreformatted"/>
        <w:rPr>
          <w:rFonts w:ascii="Arial" w:hAnsi="Arial" w:cs="Arial"/>
          <w:sz w:val="24"/>
          <w:szCs w:val="24"/>
        </w:rPr>
      </w:pPr>
      <w:r w:rsidRPr="00DB128C">
        <w:rPr>
          <w:rFonts w:ascii="Arial" w:hAnsi="Arial" w:cs="Arial"/>
          <w:sz w:val="24"/>
          <w:szCs w:val="24"/>
        </w:rPr>
        <w:t>The IRS recently issued long-awaited comprehensive final rules on the treatment of payments to acquire, produce or improve tangible property.</w:t>
      </w:r>
    </w:p>
    <w:p w:rsidR="000E3508" w:rsidRPr="00DB128C" w:rsidRDefault="000E3508" w:rsidP="000E3508">
      <w:pPr>
        <w:pStyle w:val="HTMLPreformatted"/>
        <w:rPr>
          <w:rFonts w:ascii="Arial" w:hAnsi="Arial" w:cs="Arial"/>
          <w:sz w:val="24"/>
          <w:szCs w:val="24"/>
        </w:rPr>
      </w:pPr>
    </w:p>
    <w:p w:rsidR="000E3508" w:rsidRPr="00DB128C" w:rsidRDefault="000E3508" w:rsidP="000E3508">
      <w:pPr>
        <w:pStyle w:val="HTMLPreformatted"/>
        <w:rPr>
          <w:rFonts w:ascii="Arial" w:hAnsi="Arial" w:cs="Arial"/>
          <w:sz w:val="24"/>
          <w:szCs w:val="24"/>
        </w:rPr>
      </w:pPr>
      <w:r w:rsidRPr="00DB128C">
        <w:rPr>
          <w:rFonts w:ascii="Arial" w:hAnsi="Arial" w:cs="Arial"/>
          <w:sz w:val="24"/>
          <w:szCs w:val="24"/>
        </w:rPr>
        <w:t xml:space="preserve">Starting Jan. 1, 2014, businesses must use these rules in determining whether they can deduct their costs as repairs under Code Sec. </w:t>
      </w:r>
      <w:proofErr w:type="gramStart"/>
      <w:r w:rsidRPr="00DB128C">
        <w:rPr>
          <w:rFonts w:ascii="Arial" w:hAnsi="Arial" w:cs="Arial"/>
          <w:sz w:val="24"/>
          <w:szCs w:val="24"/>
        </w:rPr>
        <w:t>162(a</w:t>
      </w:r>
      <w:proofErr w:type="gramEnd"/>
      <w:r w:rsidRPr="00DB128C">
        <w:rPr>
          <w:rFonts w:ascii="Arial" w:hAnsi="Arial" w:cs="Arial"/>
          <w:sz w:val="24"/>
          <w:szCs w:val="24"/>
        </w:rPr>
        <w:t>) or must capitalize the costs, to be recovered over a period of years under Code Sec. 263(a).</w:t>
      </w:r>
    </w:p>
    <w:p w:rsidR="000E3508" w:rsidRPr="00DB128C" w:rsidRDefault="000E3508" w:rsidP="000E3508">
      <w:pPr>
        <w:pStyle w:val="HTMLPreformatted"/>
        <w:rPr>
          <w:rFonts w:ascii="Arial" w:hAnsi="Arial" w:cs="Arial"/>
          <w:sz w:val="24"/>
          <w:szCs w:val="24"/>
        </w:rPr>
      </w:pPr>
    </w:p>
    <w:p w:rsidR="000E3508" w:rsidRPr="00DB128C" w:rsidRDefault="000E3508" w:rsidP="000E3508">
      <w:pPr>
        <w:pStyle w:val="HTMLPreformatted"/>
        <w:rPr>
          <w:rFonts w:ascii="Arial" w:hAnsi="Arial" w:cs="Arial"/>
          <w:sz w:val="24"/>
          <w:szCs w:val="24"/>
        </w:rPr>
      </w:pPr>
      <w:r w:rsidRPr="00DB128C">
        <w:rPr>
          <w:rFonts w:ascii="Arial" w:hAnsi="Arial" w:cs="Arial"/>
          <w:sz w:val="24"/>
          <w:szCs w:val="24"/>
        </w:rPr>
        <w:t>Businesses will benefit if certain procedures for treating expenses are put into place by Jan. 1, 2014. Some businesses will be better off if they start applying the new rules retroactively to the 2012 and 2013 tax years. Many of these decisions require advance planning.</w:t>
      </w:r>
    </w:p>
    <w:p w:rsidR="000E3508" w:rsidRPr="00DB128C" w:rsidRDefault="000E3508" w:rsidP="00E27836">
      <w:pPr>
        <w:pStyle w:val="HTMLPreformatted"/>
        <w:rPr>
          <w:rFonts w:ascii="Arial" w:hAnsi="Arial" w:cs="Arial"/>
          <w:b/>
          <w:bCs/>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b/>
          <w:bCs/>
          <w:sz w:val="24"/>
          <w:szCs w:val="24"/>
        </w:rPr>
        <w:t>Work Opportunity Credit</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D41DDD" w:rsidRPr="00DB128C" w:rsidRDefault="00E27836" w:rsidP="00E27836">
      <w:pPr>
        <w:pStyle w:val="HTMLPreformatted"/>
        <w:rPr>
          <w:rFonts w:ascii="Arial" w:hAnsi="Arial" w:cs="Arial"/>
          <w:sz w:val="24"/>
          <w:szCs w:val="24"/>
        </w:rPr>
      </w:pPr>
      <w:r w:rsidRPr="00DB128C">
        <w:rPr>
          <w:rFonts w:ascii="Arial" w:hAnsi="Arial" w:cs="Arial"/>
          <w:sz w:val="24"/>
          <w:szCs w:val="24"/>
        </w:rPr>
        <w:t>The Work Opportunity Credit</w:t>
      </w:r>
      <w:r w:rsidR="00E30A76" w:rsidRPr="00DB128C">
        <w:rPr>
          <w:rFonts w:ascii="Arial" w:hAnsi="Arial" w:cs="Arial"/>
          <w:sz w:val="24"/>
          <w:szCs w:val="24"/>
        </w:rPr>
        <w:t xml:space="preserve"> </w:t>
      </w:r>
      <w:r w:rsidRPr="00DB128C">
        <w:rPr>
          <w:rFonts w:ascii="Arial" w:hAnsi="Arial" w:cs="Arial"/>
          <w:sz w:val="24"/>
          <w:szCs w:val="24"/>
        </w:rPr>
        <w:t>ends Dec</w:t>
      </w:r>
      <w:r w:rsidR="00D41DDD" w:rsidRPr="00DB128C">
        <w:rPr>
          <w:rFonts w:ascii="Arial" w:hAnsi="Arial" w:cs="Arial"/>
          <w:sz w:val="24"/>
          <w:szCs w:val="24"/>
        </w:rPr>
        <w:t>.</w:t>
      </w:r>
      <w:r w:rsidRPr="00DB128C">
        <w:rPr>
          <w:rFonts w:ascii="Arial" w:hAnsi="Arial" w:cs="Arial"/>
          <w:sz w:val="24"/>
          <w:szCs w:val="24"/>
        </w:rPr>
        <w:t xml:space="preserve"> 31, 2013. To qualify for the credit, an employer must hire members of certain targeted groups and have those individuals start work before Jan</w:t>
      </w:r>
      <w:r w:rsidR="00D41DDD" w:rsidRPr="00DB128C">
        <w:rPr>
          <w:rFonts w:ascii="Arial" w:hAnsi="Arial" w:cs="Arial"/>
          <w:sz w:val="24"/>
          <w:szCs w:val="24"/>
        </w:rPr>
        <w:t>. 1, 2014.</w:t>
      </w:r>
    </w:p>
    <w:p w:rsidR="00D41DDD" w:rsidRPr="00DB128C" w:rsidRDefault="00D41DDD" w:rsidP="00E27836">
      <w:pPr>
        <w:pStyle w:val="HTMLPreformatted"/>
        <w:rPr>
          <w:rFonts w:ascii="Arial" w:hAnsi="Arial" w:cs="Arial"/>
          <w:sz w:val="24"/>
          <w:szCs w:val="24"/>
        </w:rPr>
      </w:pPr>
    </w:p>
    <w:p w:rsidR="00D41DDD" w:rsidRPr="00DB128C" w:rsidRDefault="00E27836" w:rsidP="00E27836">
      <w:pPr>
        <w:pStyle w:val="HTMLPreformatted"/>
        <w:rPr>
          <w:rFonts w:ascii="Arial" w:hAnsi="Arial" w:cs="Arial"/>
          <w:sz w:val="24"/>
          <w:szCs w:val="24"/>
        </w:rPr>
      </w:pPr>
      <w:r w:rsidRPr="00DB128C">
        <w:rPr>
          <w:rFonts w:ascii="Arial" w:hAnsi="Arial" w:cs="Arial"/>
          <w:sz w:val="24"/>
          <w:szCs w:val="24"/>
        </w:rPr>
        <w:lastRenderedPageBreak/>
        <w:t>Targeted groups, as listed in Code Sec. 51, include qualified individuals in families receiving certain government benefits</w:t>
      </w:r>
      <w:r w:rsidR="00D41DDD" w:rsidRPr="00DB128C">
        <w:rPr>
          <w:rFonts w:ascii="Arial" w:hAnsi="Arial" w:cs="Arial"/>
          <w:sz w:val="24"/>
          <w:szCs w:val="24"/>
        </w:rPr>
        <w:t>:</w:t>
      </w:r>
    </w:p>
    <w:p w:rsidR="00D41DDD" w:rsidRPr="00DB128C" w:rsidRDefault="00E27836" w:rsidP="00D41DDD">
      <w:pPr>
        <w:pStyle w:val="HTMLPreformatted"/>
        <w:numPr>
          <w:ilvl w:val="0"/>
          <w:numId w:val="20"/>
        </w:numPr>
        <w:rPr>
          <w:rFonts w:ascii="Arial" w:hAnsi="Arial" w:cs="Arial"/>
          <w:sz w:val="24"/>
          <w:szCs w:val="24"/>
        </w:rPr>
      </w:pPr>
      <w:r w:rsidRPr="00DB128C">
        <w:rPr>
          <w:rFonts w:ascii="Arial" w:hAnsi="Arial" w:cs="Arial"/>
          <w:sz w:val="24"/>
          <w:szCs w:val="24"/>
        </w:rPr>
        <w:t xml:space="preserve">Title IV-A </w:t>
      </w:r>
      <w:r w:rsidR="00D41DDD" w:rsidRPr="00DB128C">
        <w:rPr>
          <w:rFonts w:ascii="Arial" w:hAnsi="Arial" w:cs="Arial"/>
          <w:sz w:val="24"/>
          <w:szCs w:val="24"/>
        </w:rPr>
        <w:t>s</w:t>
      </w:r>
      <w:r w:rsidRPr="00DB128C">
        <w:rPr>
          <w:rFonts w:ascii="Arial" w:hAnsi="Arial" w:cs="Arial"/>
          <w:sz w:val="24"/>
          <w:szCs w:val="24"/>
        </w:rPr>
        <w:t xml:space="preserve">ocial </w:t>
      </w:r>
      <w:r w:rsidR="00D41DDD" w:rsidRPr="00DB128C">
        <w:rPr>
          <w:rFonts w:ascii="Arial" w:hAnsi="Arial" w:cs="Arial"/>
          <w:sz w:val="24"/>
          <w:szCs w:val="24"/>
        </w:rPr>
        <w:t>s</w:t>
      </w:r>
      <w:r w:rsidRPr="00DB128C">
        <w:rPr>
          <w:rFonts w:ascii="Arial" w:hAnsi="Arial" w:cs="Arial"/>
          <w:sz w:val="24"/>
          <w:szCs w:val="24"/>
        </w:rPr>
        <w:t>ecurity benefits (aid for depe</w:t>
      </w:r>
      <w:r w:rsidR="00D41DDD" w:rsidRPr="00DB128C">
        <w:rPr>
          <w:rFonts w:ascii="Arial" w:hAnsi="Arial" w:cs="Arial"/>
          <w:sz w:val="24"/>
          <w:szCs w:val="24"/>
        </w:rPr>
        <w:t>ndent children) or food stamps;</w:t>
      </w:r>
    </w:p>
    <w:p w:rsidR="00D41DDD" w:rsidRPr="00DB128C" w:rsidRDefault="00E27836" w:rsidP="00D41DDD">
      <w:pPr>
        <w:pStyle w:val="HTMLPreformatted"/>
        <w:numPr>
          <w:ilvl w:val="0"/>
          <w:numId w:val="20"/>
        </w:numPr>
        <w:rPr>
          <w:rFonts w:ascii="Arial" w:hAnsi="Arial" w:cs="Arial"/>
          <w:sz w:val="24"/>
          <w:szCs w:val="24"/>
        </w:rPr>
      </w:pPr>
      <w:r w:rsidRPr="00DB128C">
        <w:rPr>
          <w:rFonts w:ascii="Arial" w:hAnsi="Arial" w:cs="Arial"/>
          <w:sz w:val="24"/>
          <w:szCs w:val="24"/>
        </w:rPr>
        <w:t xml:space="preserve">qualified individuals who receive supplemental social security income </w:t>
      </w:r>
      <w:r w:rsidR="00D41DDD" w:rsidRPr="00DB128C">
        <w:rPr>
          <w:rFonts w:ascii="Arial" w:hAnsi="Arial" w:cs="Arial"/>
          <w:sz w:val="24"/>
          <w:szCs w:val="24"/>
        </w:rPr>
        <w:t>or long-term family assistance;</w:t>
      </w:r>
    </w:p>
    <w:p w:rsidR="00D41DDD" w:rsidRPr="00DB128C" w:rsidRDefault="00E27836" w:rsidP="00D41DDD">
      <w:pPr>
        <w:pStyle w:val="HTMLPreformatted"/>
        <w:numPr>
          <w:ilvl w:val="0"/>
          <w:numId w:val="20"/>
        </w:numPr>
        <w:rPr>
          <w:rFonts w:ascii="Arial" w:hAnsi="Arial" w:cs="Arial"/>
          <w:sz w:val="24"/>
          <w:szCs w:val="24"/>
        </w:rPr>
      </w:pPr>
      <w:r w:rsidRPr="00DB128C">
        <w:rPr>
          <w:rFonts w:ascii="Arial" w:hAnsi="Arial" w:cs="Arial"/>
          <w:sz w:val="24"/>
          <w:szCs w:val="24"/>
        </w:rPr>
        <w:t xml:space="preserve">veterans who are members of families receiving food stamps, who have service-connected disabilities, or who are unemployed; </w:t>
      </w:r>
    </w:p>
    <w:p w:rsidR="00D41DDD" w:rsidRPr="00DB128C" w:rsidRDefault="00D41DDD" w:rsidP="00D41DDD">
      <w:pPr>
        <w:pStyle w:val="HTMLPreformatted"/>
        <w:numPr>
          <w:ilvl w:val="0"/>
          <w:numId w:val="20"/>
        </w:numPr>
        <w:rPr>
          <w:rFonts w:ascii="Arial" w:hAnsi="Arial" w:cs="Arial"/>
          <w:sz w:val="24"/>
          <w:szCs w:val="24"/>
        </w:rPr>
      </w:pPr>
      <w:r w:rsidRPr="00DB128C">
        <w:rPr>
          <w:rFonts w:ascii="Arial" w:hAnsi="Arial" w:cs="Arial"/>
          <w:sz w:val="24"/>
          <w:szCs w:val="24"/>
        </w:rPr>
        <w:t>designated community residents;</w:t>
      </w:r>
    </w:p>
    <w:p w:rsidR="00E27836" w:rsidRPr="00DB128C" w:rsidRDefault="00E27836" w:rsidP="00D41DDD">
      <w:pPr>
        <w:pStyle w:val="HTMLPreformatted"/>
        <w:numPr>
          <w:ilvl w:val="0"/>
          <w:numId w:val="20"/>
        </w:numPr>
        <w:rPr>
          <w:rFonts w:ascii="Arial" w:hAnsi="Arial" w:cs="Arial"/>
          <w:sz w:val="24"/>
          <w:szCs w:val="24"/>
        </w:rPr>
      </w:pPr>
      <w:proofErr w:type="gramStart"/>
      <w:r w:rsidRPr="00DB128C">
        <w:rPr>
          <w:rFonts w:ascii="Arial" w:hAnsi="Arial" w:cs="Arial"/>
          <w:sz w:val="24"/>
          <w:szCs w:val="24"/>
        </w:rPr>
        <w:t>vocational</w:t>
      </w:r>
      <w:proofErr w:type="gramEnd"/>
      <w:r w:rsidRPr="00DB128C">
        <w:rPr>
          <w:rFonts w:ascii="Arial" w:hAnsi="Arial" w:cs="Arial"/>
          <w:sz w:val="24"/>
          <w:szCs w:val="24"/>
        </w:rPr>
        <w:t xml:space="preserve"> rehabilitation referrals certified to have physical or mental disabilities; and others.</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D41DDD" w:rsidRPr="00DB128C" w:rsidRDefault="00E30A76" w:rsidP="00E27836">
      <w:pPr>
        <w:pStyle w:val="HTMLPreformatted"/>
        <w:rPr>
          <w:rFonts w:ascii="Arial" w:hAnsi="Arial" w:cs="Arial"/>
          <w:sz w:val="24"/>
          <w:szCs w:val="24"/>
        </w:rPr>
      </w:pPr>
      <w:r w:rsidRPr="00DB128C">
        <w:rPr>
          <w:rFonts w:ascii="Arial" w:hAnsi="Arial" w:cs="Arial"/>
          <w:sz w:val="24"/>
          <w:szCs w:val="24"/>
        </w:rPr>
        <w:t>E</w:t>
      </w:r>
      <w:r w:rsidR="00E27836" w:rsidRPr="00DB128C">
        <w:rPr>
          <w:rFonts w:ascii="Arial" w:hAnsi="Arial" w:cs="Arial"/>
          <w:sz w:val="24"/>
          <w:szCs w:val="24"/>
        </w:rPr>
        <w:t xml:space="preserve">mployees </w:t>
      </w:r>
      <w:r w:rsidRPr="00DB128C">
        <w:rPr>
          <w:rFonts w:ascii="Arial" w:hAnsi="Arial" w:cs="Arial"/>
          <w:sz w:val="24"/>
          <w:szCs w:val="24"/>
        </w:rPr>
        <w:t>must be</w:t>
      </w:r>
      <w:r w:rsidR="00E27836" w:rsidRPr="00DB128C">
        <w:rPr>
          <w:rFonts w:ascii="Arial" w:hAnsi="Arial" w:cs="Arial"/>
          <w:sz w:val="24"/>
          <w:szCs w:val="24"/>
        </w:rPr>
        <w:t xml:space="preserve"> certified as members of a target group by a designated local agency (DLA). On or before the day the employee begins work, the employer must receive a written certificate from the </w:t>
      </w:r>
      <w:r w:rsidRPr="00DB128C">
        <w:rPr>
          <w:rFonts w:ascii="Arial" w:hAnsi="Arial" w:cs="Arial"/>
          <w:sz w:val="24"/>
          <w:szCs w:val="24"/>
        </w:rPr>
        <w:t xml:space="preserve">DLA </w:t>
      </w:r>
      <w:r w:rsidR="00E27836" w:rsidRPr="00DB128C">
        <w:rPr>
          <w:rFonts w:ascii="Arial" w:hAnsi="Arial" w:cs="Arial"/>
          <w:sz w:val="24"/>
          <w:szCs w:val="24"/>
        </w:rPr>
        <w:t xml:space="preserve">indicating that the employee is a member of a specific targeted group. Employers can use Form 8850. </w:t>
      </w:r>
      <w:r w:rsidR="00D41DDD" w:rsidRPr="00DB128C">
        <w:rPr>
          <w:rFonts w:ascii="Arial" w:hAnsi="Arial" w:cs="Arial"/>
          <w:sz w:val="24"/>
          <w:szCs w:val="24"/>
        </w:rPr>
        <w:t>“</w:t>
      </w:r>
      <w:r w:rsidR="00E27836" w:rsidRPr="00DB128C">
        <w:rPr>
          <w:rFonts w:ascii="Arial" w:hAnsi="Arial" w:cs="Arial"/>
          <w:sz w:val="24"/>
          <w:szCs w:val="24"/>
        </w:rPr>
        <w:t>Pre-Screening Notice and Certification Request for the Work Opportunity Credit,</w:t>
      </w:r>
      <w:r w:rsidR="00D41DDD" w:rsidRPr="00DB128C">
        <w:rPr>
          <w:rFonts w:ascii="Arial" w:hAnsi="Arial" w:cs="Arial"/>
          <w:sz w:val="24"/>
          <w:szCs w:val="24"/>
        </w:rPr>
        <w:t>” to obtain the certification.</w:t>
      </w:r>
    </w:p>
    <w:p w:rsidR="00D41DDD" w:rsidRPr="00DB128C" w:rsidRDefault="00D41DDD"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The IRS allows forms to be submitted electronically to DLAs with receipt systems that meet IRS standards. Alternatively, as part of a written certification request, the employer may complete a pre</w:t>
      </w:r>
      <w:r w:rsidR="00D41DDD" w:rsidRPr="00DB128C">
        <w:rPr>
          <w:rFonts w:ascii="Arial" w:hAnsi="Arial" w:cs="Arial"/>
          <w:sz w:val="24"/>
          <w:szCs w:val="24"/>
        </w:rPr>
        <w:t>-</w:t>
      </w:r>
      <w:r w:rsidRPr="00DB128C">
        <w:rPr>
          <w:rFonts w:ascii="Arial" w:hAnsi="Arial" w:cs="Arial"/>
          <w:sz w:val="24"/>
          <w:szCs w:val="24"/>
        </w:rPr>
        <w:t>screening notice on or before the day the employee is offered a job and submit the notice to the designated local agency within 28 days after the employee commences work.</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30A76" w:rsidRPr="00DB128C" w:rsidRDefault="00E27836" w:rsidP="00E27836">
      <w:pPr>
        <w:pStyle w:val="HTMLPreformatted"/>
        <w:rPr>
          <w:rFonts w:ascii="Arial" w:hAnsi="Arial" w:cs="Arial"/>
          <w:sz w:val="24"/>
          <w:szCs w:val="24"/>
        </w:rPr>
      </w:pPr>
      <w:r w:rsidRPr="00DB128C">
        <w:rPr>
          <w:rFonts w:ascii="Arial" w:hAnsi="Arial" w:cs="Arial"/>
          <w:sz w:val="24"/>
          <w:szCs w:val="24"/>
        </w:rPr>
        <w:t>The credit is generally equal to 40 percent of the qualified worker's first-year wages up to $6,000 ($3,000 for summer youths and $12,000, $14,000, or $24,000 for certain qualified veterans)</w:t>
      </w:r>
      <w:r w:rsidR="00E30A76" w:rsidRPr="00DB128C">
        <w:rPr>
          <w:rFonts w:ascii="Arial" w:hAnsi="Arial" w:cs="Arial"/>
          <w:sz w:val="24"/>
          <w:szCs w:val="24"/>
        </w:rPr>
        <w:t>.</w:t>
      </w:r>
    </w:p>
    <w:p w:rsidR="00E30A76" w:rsidRPr="00DB128C" w:rsidRDefault="00E30A76"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For long-term family aid recipients, the credit is equal to 40 percent of the first $10,000 in qualified first year wages and 50 percent of the first $10,000 of qualified second-year wages.</w:t>
      </w:r>
    </w:p>
    <w:p w:rsidR="00D41DDD" w:rsidRPr="00DB128C" w:rsidRDefault="00D41DDD"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b/>
          <w:bCs/>
          <w:sz w:val="24"/>
          <w:szCs w:val="24"/>
        </w:rPr>
        <w:t>Small</w:t>
      </w:r>
      <w:r w:rsidR="00E30A76" w:rsidRPr="00DB128C">
        <w:rPr>
          <w:rFonts w:ascii="Arial" w:hAnsi="Arial" w:cs="Arial"/>
          <w:b/>
          <w:bCs/>
          <w:sz w:val="24"/>
          <w:szCs w:val="24"/>
        </w:rPr>
        <w:t>-</w:t>
      </w:r>
      <w:r w:rsidRPr="00DB128C">
        <w:rPr>
          <w:rFonts w:ascii="Arial" w:hAnsi="Arial" w:cs="Arial"/>
          <w:b/>
          <w:bCs/>
          <w:sz w:val="24"/>
          <w:szCs w:val="24"/>
        </w:rPr>
        <w:t>Business Stock</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ATRA ’12 extended the 100-percent exclusion allowed for gain on the sale or exchange of qualified small</w:t>
      </w:r>
      <w:r w:rsidR="00E30A76" w:rsidRPr="00DB128C">
        <w:rPr>
          <w:rFonts w:ascii="Arial" w:hAnsi="Arial" w:cs="Arial"/>
          <w:sz w:val="24"/>
          <w:szCs w:val="24"/>
        </w:rPr>
        <w:t>-</w:t>
      </w:r>
      <w:r w:rsidRPr="00DB128C">
        <w:rPr>
          <w:rFonts w:ascii="Arial" w:hAnsi="Arial" w:cs="Arial"/>
          <w:sz w:val="24"/>
          <w:szCs w:val="24"/>
        </w:rPr>
        <w:t>business stock under Code Section 1202. The stock must be acquired before Jan</w:t>
      </w:r>
      <w:r w:rsidR="00D41DDD" w:rsidRPr="00DB128C">
        <w:rPr>
          <w:rFonts w:ascii="Arial" w:hAnsi="Arial" w:cs="Arial"/>
          <w:sz w:val="24"/>
          <w:szCs w:val="24"/>
        </w:rPr>
        <w:t>.</w:t>
      </w:r>
      <w:r w:rsidRPr="00DB128C">
        <w:rPr>
          <w:rFonts w:ascii="Arial" w:hAnsi="Arial" w:cs="Arial"/>
          <w:sz w:val="24"/>
          <w:szCs w:val="24"/>
        </w:rPr>
        <w:t xml:space="preserve"> 1, 2014, and held for more than five years by non</w:t>
      </w:r>
      <w:r w:rsidR="00D41DDD" w:rsidRPr="00DB128C">
        <w:rPr>
          <w:rFonts w:ascii="Arial" w:hAnsi="Arial" w:cs="Arial"/>
          <w:sz w:val="24"/>
          <w:szCs w:val="24"/>
        </w:rPr>
        <w:t>-</w:t>
      </w:r>
      <w:r w:rsidRPr="00DB128C">
        <w:rPr>
          <w:rFonts w:ascii="Arial" w:hAnsi="Arial" w:cs="Arial"/>
          <w:sz w:val="24"/>
          <w:szCs w:val="24"/>
        </w:rPr>
        <w:t xml:space="preserve">corporate taxpayers. Preferential AMT treatment also applies. The exclusion under Code Section 1202 after 2013 reverts to </w:t>
      </w:r>
      <w:proofErr w:type="gramStart"/>
      <w:r w:rsidRPr="00DB128C">
        <w:rPr>
          <w:rFonts w:ascii="Arial" w:hAnsi="Arial" w:cs="Arial"/>
          <w:sz w:val="24"/>
          <w:szCs w:val="24"/>
        </w:rPr>
        <w:t>a 50</w:t>
      </w:r>
      <w:proofErr w:type="gramEnd"/>
      <w:r w:rsidR="00D41DDD" w:rsidRPr="00DB128C">
        <w:rPr>
          <w:rFonts w:ascii="Arial" w:hAnsi="Arial" w:cs="Arial"/>
          <w:sz w:val="24"/>
          <w:szCs w:val="24"/>
        </w:rPr>
        <w:t>-</w:t>
      </w:r>
      <w:r w:rsidRPr="00DB128C">
        <w:rPr>
          <w:rFonts w:ascii="Arial" w:hAnsi="Arial" w:cs="Arial"/>
          <w:sz w:val="24"/>
          <w:szCs w:val="24"/>
        </w:rPr>
        <w:t>percent exclusion.</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Eligible gain from the disposition of qualified stock of any single issuer is subject to a cumulative limit for any given tax year equal to the greater of: $10 million ($5 million for married taxpayers filing separately), reduced by the total amount of eligible gain taken in prior tax years; or 10 times the taxpayer's adjusted basis in all qualified stock of a corporation disposed of during the tax year.</w:t>
      </w:r>
    </w:p>
    <w:p w:rsidR="00E27836" w:rsidRPr="00DB128C" w:rsidRDefault="00E27836" w:rsidP="00E27836">
      <w:pPr>
        <w:pStyle w:val="HTMLPreformatted"/>
        <w:rPr>
          <w:rFonts w:ascii="Arial" w:hAnsi="Arial" w:cs="Arial"/>
          <w:sz w:val="24"/>
          <w:szCs w:val="24"/>
        </w:rPr>
      </w:pPr>
    </w:p>
    <w:p w:rsidR="00E27836" w:rsidRPr="00DB128C" w:rsidRDefault="00A55024" w:rsidP="00E27836">
      <w:pPr>
        <w:pStyle w:val="HTMLPreformatted"/>
        <w:rPr>
          <w:rFonts w:ascii="Arial" w:hAnsi="Arial" w:cs="Arial"/>
          <w:sz w:val="24"/>
          <w:szCs w:val="24"/>
        </w:rPr>
      </w:pPr>
      <w:r w:rsidRPr="00DB128C">
        <w:rPr>
          <w:rFonts w:ascii="Arial" w:hAnsi="Arial" w:cs="Arial"/>
          <w:b/>
          <w:bCs/>
          <w:sz w:val="24"/>
          <w:szCs w:val="24"/>
        </w:rPr>
        <w:t>Pass-T</w:t>
      </w:r>
      <w:r w:rsidR="00E27836" w:rsidRPr="00DB128C">
        <w:rPr>
          <w:rFonts w:ascii="Arial" w:hAnsi="Arial" w:cs="Arial"/>
          <w:b/>
          <w:bCs/>
          <w:sz w:val="24"/>
          <w:szCs w:val="24"/>
        </w:rPr>
        <w:t>hrough Issues</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D41DDD" w:rsidRPr="00DB128C" w:rsidRDefault="00E27836" w:rsidP="00E27836">
      <w:pPr>
        <w:pStyle w:val="HTMLPreformatted"/>
        <w:rPr>
          <w:rFonts w:ascii="Arial" w:hAnsi="Arial" w:cs="Arial"/>
          <w:sz w:val="24"/>
          <w:szCs w:val="24"/>
        </w:rPr>
      </w:pPr>
      <w:r w:rsidRPr="00DB128C">
        <w:rPr>
          <w:rFonts w:ascii="Arial" w:hAnsi="Arial" w:cs="Arial"/>
          <w:sz w:val="24"/>
          <w:szCs w:val="24"/>
        </w:rPr>
        <w:t>Many business operations are not taxed on the ent</w:t>
      </w:r>
      <w:r w:rsidR="00D41DDD" w:rsidRPr="00DB128C">
        <w:rPr>
          <w:rFonts w:ascii="Arial" w:hAnsi="Arial" w:cs="Arial"/>
          <w:sz w:val="24"/>
          <w:szCs w:val="24"/>
        </w:rPr>
        <w:t>ity level as corporations but</w:t>
      </w:r>
      <w:r w:rsidRPr="00DB128C">
        <w:rPr>
          <w:rFonts w:ascii="Arial" w:hAnsi="Arial" w:cs="Arial"/>
          <w:sz w:val="24"/>
          <w:szCs w:val="24"/>
        </w:rPr>
        <w:t xml:space="preserve"> instead pass through taxable profits and losses to their unin</w:t>
      </w:r>
      <w:r w:rsidR="00A55024" w:rsidRPr="00DB128C">
        <w:rPr>
          <w:rFonts w:ascii="Arial" w:hAnsi="Arial" w:cs="Arial"/>
          <w:sz w:val="24"/>
          <w:szCs w:val="24"/>
        </w:rPr>
        <w:t>corporated owners or to their S-</w:t>
      </w:r>
      <w:r w:rsidRPr="00DB128C">
        <w:rPr>
          <w:rFonts w:ascii="Arial" w:hAnsi="Arial" w:cs="Arial"/>
          <w:sz w:val="24"/>
          <w:szCs w:val="24"/>
        </w:rPr>
        <w:t>corporation shareholders. Starting in 2013, these owners face new year-end planning challenges in the form of a higher individual tax rate of 39.6 percent and additional surtaxes on passive income by way of the net investment income surtax of 3.8 percent and the Additional Medicare Tax of 0.9 percent on compensation, both aimed at</w:t>
      </w:r>
      <w:r w:rsidR="00D41DDD" w:rsidRPr="00DB128C">
        <w:rPr>
          <w:rFonts w:ascii="Arial" w:hAnsi="Arial" w:cs="Arial"/>
          <w:sz w:val="24"/>
          <w:szCs w:val="24"/>
        </w:rPr>
        <w:t xml:space="preserve"> the “higher-income” taxpayers.</w:t>
      </w:r>
    </w:p>
    <w:p w:rsidR="00D41DDD" w:rsidRPr="00DB128C" w:rsidRDefault="00D41DDD"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xml:space="preserve">Deferring some of this </w:t>
      </w:r>
      <w:r w:rsidR="00D41DDD" w:rsidRPr="00DB128C">
        <w:rPr>
          <w:rFonts w:ascii="Arial" w:hAnsi="Arial" w:cs="Arial"/>
          <w:sz w:val="24"/>
          <w:szCs w:val="24"/>
        </w:rPr>
        <w:t>income</w:t>
      </w:r>
      <w:r w:rsidRPr="00DB128C">
        <w:rPr>
          <w:rFonts w:ascii="Arial" w:hAnsi="Arial" w:cs="Arial"/>
          <w:sz w:val="24"/>
          <w:szCs w:val="24"/>
        </w:rPr>
        <w:t xml:space="preserve"> or harvesting loss</w:t>
      </w:r>
      <w:r w:rsidR="00D41DDD" w:rsidRPr="00DB128C">
        <w:rPr>
          <w:rFonts w:ascii="Arial" w:hAnsi="Arial" w:cs="Arial"/>
          <w:sz w:val="24"/>
          <w:szCs w:val="24"/>
        </w:rPr>
        <w:t>es to offset some of the income</w:t>
      </w:r>
      <w:r w:rsidRPr="00DB128C">
        <w:rPr>
          <w:rFonts w:ascii="Arial" w:hAnsi="Arial" w:cs="Arial"/>
          <w:sz w:val="24"/>
          <w:szCs w:val="24"/>
        </w:rPr>
        <w:t xml:space="preserve"> are traditional year-end planning techniques that take on added value for the 2013 year-end tax year.</w:t>
      </w:r>
    </w:p>
    <w:p w:rsidR="00D41DDD" w:rsidRPr="00DB128C" w:rsidRDefault="00D41DDD" w:rsidP="00E27836">
      <w:pPr>
        <w:pStyle w:val="HTMLPreformatted"/>
        <w:rPr>
          <w:rFonts w:ascii="Arial" w:hAnsi="Arial" w:cs="Arial"/>
          <w:sz w:val="24"/>
          <w:szCs w:val="24"/>
        </w:rPr>
      </w:pPr>
    </w:p>
    <w:p w:rsidR="00D41DDD" w:rsidRPr="00DB128C" w:rsidRDefault="00D41DDD"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b/>
          <w:bCs/>
          <w:sz w:val="24"/>
          <w:szCs w:val="24"/>
        </w:rPr>
        <w:t>Recognition Period for S Corporation Built-in Gains</w:t>
      </w:r>
    </w:p>
    <w:p w:rsidR="00BD7737" w:rsidRPr="00DB128C" w:rsidRDefault="00BD7737"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For tax years beginning in 2012 and 2013, for purposes of computing the built-in gains tax, the recognition period is the five-year period beginning with the first day of the first tax year for which the corporation was an S corporation.</w:t>
      </w:r>
    </w:p>
    <w:p w:rsidR="00BD7737" w:rsidRPr="00DB128C" w:rsidRDefault="00BD7737"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xml:space="preserve">The built-in gains tax can be triggered by downsizing or other business survival decisions, including the disposal of unused assets to raise needed cash. </w:t>
      </w:r>
      <w:r w:rsidR="00BD7737" w:rsidRPr="00DB128C">
        <w:rPr>
          <w:rFonts w:ascii="Arial" w:hAnsi="Arial" w:cs="Arial"/>
          <w:sz w:val="24"/>
          <w:szCs w:val="24"/>
        </w:rPr>
        <w:t>R</w:t>
      </w:r>
      <w:r w:rsidRPr="00DB128C">
        <w:rPr>
          <w:rFonts w:ascii="Arial" w:hAnsi="Arial" w:cs="Arial"/>
          <w:sz w:val="24"/>
          <w:szCs w:val="24"/>
        </w:rPr>
        <w:t>elief provided by the shorter recognition period may be valuable for small family</w:t>
      </w:r>
      <w:r w:rsidR="00E30A76" w:rsidRPr="00DB128C">
        <w:rPr>
          <w:rFonts w:ascii="Arial" w:hAnsi="Arial" w:cs="Arial"/>
          <w:sz w:val="24"/>
          <w:szCs w:val="24"/>
        </w:rPr>
        <w:t>-</w:t>
      </w:r>
      <w:r w:rsidRPr="00DB128C">
        <w:rPr>
          <w:rFonts w:ascii="Arial" w:hAnsi="Arial" w:cs="Arial"/>
          <w:sz w:val="24"/>
          <w:szCs w:val="24"/>
        </w:rPr>
        <w:t xml:space="preserve"> or privately-owned businesses.</w:t>
      </w: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E30A76" w:rsidRPr="00DB128C" w:rsidRDefault="00E27836" w:rsidP="00E27836">
      <w:pPr>
        <w:pStyle w:val="HTMLPreformatted"/>
        <w:rPr>
          <w:rFonts w:ascii="Arial" w:hAnsi="Arial" w:cs="Arial"/>
          <w:b/>
          <w:bCs/>
          <w:sz w:val="24"/>
          <w:szCs w:val="24"/>
        </w:rPr>
      </w:pPr>
      <w:r w:rsidRPr="00DB128C">
        <w:rPr>
          <w:rFonts w:ascii="Arial" w:hAnsi="Arial" w:cs="Arial"/>
          <w:b/>
          <w:bCs/>
          <w:sz w:val="24"/>
          <w:szCs w:val="24"/>
        </w:rPr>
        <w:t xml:space="preserve">Other </w:t>
      </w:r>
      <w:r w:rsidR="00E30A76" w:rsidRPr="00DB128C">
        <w:rPr>
          <w:rFonts w:ascii="Arial" w:hAnsi="Arial" w:cs="Arial"/>
          <w:b/>
          <w:bCs/>
          <w:sz w:val="24"/>
          <w:szCs w:val="24"/>
        </w:rPr>
        <w:t xml:space="preserve">Expiring </w:t>
      </w:r>
      <w:r w:rsidRPr="00DB128C">
        <w:rPr>
          <w:rFonts w:ascii="Arial" w:hAnsi="Arial" w:cs="Arial"/>
          <w:b/>
          <w:bCs/>
          <w:sz w:val="24"/>
          <w:szCs w:val="24"/>
        </w:rPr>
        <w:t>Provisions</w:t>
      </w:r>
    </w:p>
    <w:p w:rsidR="00A55024" w:rsidRPr="00DB128C" w:rsidRDefault="00A55024" w:rsidP="00E27836">
      <w:pPr>
        <w:pStyle w:val="HTMLPreformatted"/>
        <w:rPr>
          <w:rFonts w:ascii="Arial" w:hAnsi="Arial" w:cs="Arial"/>
          <w:b/>
          <w:bCs/>
          <w:sz w:val="24"/>
          <w:szCs w:val="24"/>
        </w:rPr>
      </w:pPr>
    </w:p>
    <w:p w:rsidR="00A55024" w:rsidRPr="00DB128C" w:rsidRDefault="00A55024" w:rsidP="00E27836">
      <w:pPr>
        <w:pStyle w:val="HTMLPreformatted"/>
        <w:rPr>
          <w:rFonts w:ascii="Arial" w:hAnsi="Arial" w:cs="Arial"/>
          <w:bCs/>
          <w:sz w:val="24"/>
          <w:szCs w:val="24"/>
        </w:rPr>
      </w:pPr>
      <w:r w:rsidRPr="00DB128C">
        <w:rPr>
          <w:rFonts w:ascii="Arial" w:hAnsi="Arial" w:cs="Arial"/>
          <w:bCs/>
          <w:sz w:val="24"/>
          <w:szCs w:val="24"/>
        </w:rPr>
        <w:t>Several other expiring provisions in the tax law are worth noting, including:</w:t>
      </w:r>
    </w:p>
    <w:p w:rsidR="00E27836" w:rsidRPr="00DB128C" w:rsidRDefault="00E27836" w:rsidP="00E30A76">
      <w:pPr>
        <w:pStyle w:val="HTMLPreformatted"/>
        <w:numPr>
          <w:ilvl w:val="0"/>
          <w:numId w:val="22"/>
        </w:numPr>
        <w:rPr>
          <w:rFonts w:ascii="Arial" w:hAnsi="Arial" w:cs="Arial"/>
          <w:sz w:val="24"/>
          <w:szCs w:val="24"/>
        </w:rPr>
      </w:pPr>
      <w:r w:rsidRPr="00DB128C">
        <w:rPr>
          <w:rFonts w:ascii="Arial" w:hAnsi="Arial" w:cs="Arial"/>
          <w:sz w:val="24"/>
          <w:szCs w:val="24"/>
        </w:rPr>
        <w:t>Enhanced deduction for charitable contributions of food inventory;</w:t>
      </w:r>
    </w:p>
    <w:p w:rsidR="00E27836" w:rsidRPr="00DB128C" w:rsidRDefault="00E27836" w:rsidP="00E30A76">
      <w:pPr>
        <w:pStyle w:val="HTMLPreformatted"/>
        <w:numPr>
          <w:ilvl w:val="0"/>
          <w:numId w:val="22"/>
        </w:numPr>
        <w:rPr>
          <w:rFonts w:ascii="Arial" w:hAnsi="Arial" w:cs="Arial"/>
          <w:sz w:val="24"/>
          <w:szCs w:val="24"/>
        </w:rPr>
      </w:pPr>
      <w:r w:rsidRPr="00DB128C">
        <w:rPr>
          <w:rFonts w:ascii="Arial" w:hAnsi="Arial" w:cs="Arial"/>
          <w:sz w:val="24"/>
          <w:szCs w:val="24"/>
        </w:rPr>
        <w:t>Tax incentives for empowerment zones;</w:t>
      </w:r>
    </w:p>
    <w:p w:rsidR="00E27836" w:rsidRPr="00DB128C" w:rsidRDefault="00E27836" w:rsidP="00E30A76">
      <w:pPr>
        <w:pStyle w:val="HTMLPreformatted"/>
        <w:numPr>
          <w:ilvl w:val="0"/>
          <w:numId w:val="22"/>
        </w:numPr>
        <w:rPr>
          <w:rFonts w:ascii="Arial" w:hAnsi="Arial" w:cs="Arial"/>
          <w:sz w:val="24"/>
          <w:szCs w:val="24"/>
        </w:rPr>
      </w:pPr>
      <w:r w:rsidRPr="00DB128C">
        <w:rPr>
          <w:rFonts w:ascii="Arial" w:hAnsi="Arial" w:cs="Arial"/>
          <w:sz w:val="24"/>
          <w:szCs w:val="24"/>
        </w:rPr>
        <w:t>Indian employment credit;</w:t>
      </w:r>
    </w:p>
    <w:p w:rsidR="00E27836" w:rsidRPr="00DB128C" w:rsidRDefault="00E27836" w:rsidP="00E30A76">
      <w:pPr>
        <w:pStyle w:val="HTMLPreformatted"/>
        <w:numPr>
          <w:ilvl w:val="0"/>
          <w:numId w:val="22"/>
        </w:numPr>
        <w:rPr>
          <w:rFonts w:ascii="Arial" w:hAnsi="Arial" w:cs="Arial"/>
          <w:sz w:val="24"/>
          <w:szCs w:val="24"/>
        </w:rPr>
      </w:pPr>
      <w:r w:rsidRPr="00DB128C">
        <w:rPr>
          <w:rFonts w:ascii="Arial" w:hAnsi="Arial" w:cs="Arial"/>
          <w:sz w:val="24"/>
          <w:szCs w:val="24"/>
        </w:rPr>
        <w:t>Low-income tax credits for non-federally subsidized new buildings;</w:t>
      </w:r>
    </w:p>
    <w:p w:rsidR="00E27836" w:rsidRPr="00DB128C" w:rsidRDefault="00E27836" w:rsidP="00E30A76">
      <w:pPr>
        <w:pStyle w:val="HTMLPreformatted"/>
        <w:numPr>
          <w:ilvl w:val="0"/>
          <w:numId w:val="22"/>
        </w:numPr>
        <w:rPr>
          <w:rFonts w:ascii="Arial" w:hAnsi="Arial" w:cs="Arial"/>
          <w:sz w:val="24"/>
          <w:szCs w:val="24"/>
        </w:rPr>
      </w:pPr>
      <w:r w:rsidRPr="00DB128C">
        <w:rPr>
          <w:rFonts w:ascii="Arial" w:hAnsi="Arial" w:cs="Arial"/>
          <w:sz w:val="24"/>
          <w:szCs w:val="24"/>
        </w:rPr>
        <w:t>Low-income housing tax credit treatment of military housing allowances;</w:t>
      </w:r>
    </w:p>
    <w:p w:rsidR="00E27836" w:rsidRPr="00DB128C" w:rsidRDefault="00E27836" w:rsidP="00E30A76">
      <w:pPr>
        <w:pStyle w:val="HTMLPreformatted"/>
        <w:numPr>
          <w:ilvl w:val="0"/>
          <w:numId w:val="22"/>
        </w:numPr>
        <w:rPr>
          <w:rFonts w:ascii="Arial" w:hAnsi="Arial" w:cs="Arial"/>
          <w:sz w:val="24"/>
          <w:szCs w:val="24"/>
        </w:rPr>
      </w:pPr>
      <w:r w:rsidRPr="00DB128C">
        <w:rPr>
          <w:rFonts w:ascii="Arial" w:hAnsi="Arial" w:cs="Arial"/>
          <w:sz w:val="24"/>
          <w:szCs w:val="24"/>
        </w:rPr>
        <w:t>Adjusted-basis reduction of stock after S corporation charitable donation of property.</w:t>
      </w:r>
    </w:p>
    <w:p w:rsidR="000E3508" w:rsidRPr="00DB128C" w:rsidRDefault="00E27836" w:rsidP="00E27836">
      <w:pPr>
        <w:pStyle w:val="HTMLPreformatted"/>
        <w:rPr>
          <w:rFonts w:ascii="Arial" w:hAnsi="Arial" w:cs="Arial"/>
          <w:sz w:val="24"/>
          <w:szCs w:val="24"/>
        </w:rPr>
      </w:pPr>
      <w:r w:rsidRPr="00DB128C">
        <w:rPr>
          <w:rFonts w:ascii="Arial" w:hAnsi="Arial" w:cs="Arial"/>
          <w:sz w:val="24"/>
          <w:szCs w:val="24"/>
        </w:rPr>
        <w:t> </w:t>
      </w:r>
    </w:p>
    <w:p w:rsidR="000E3508" w:rsidRPr="00DB128C" w:rsidRDefault="000E3508" w:rsidP="00E27836">
      <w:pPr>
        <w:pStyle w:val="HTMLPreformatted"/>
        <w:rPr>
          <w:rFonts w:ascii="Arial" w:hAnsi="Arial" w:cs="Arial"/>
          <w:b/>
          <w:sz w:val="24"/>
          <w:szCs w:val="24"/>
        </w:rPr>
      </w:pPr>
      <w:r w:rsidRPr="00DB128C">
        <w:rPr>
          <w:rFonts w:ascii="Arial" w:hAnsi="Arial" w:cs="Arial"/>
          <w:b/>
          <w:sz w:val="24"/>
          <w:szCs w:val="24"/>
        </w:rPr>
        <w:t>Other Tax Credits</w:t>
      </w:r>
    </w:p>
    <w:p w:rsidR="000E3508" w:rsidRPr="00DB128C" w:rsidRDefault="000E3508" w:rsidP="00E27836">
      <w:pPr>
        <w:pStyle w:val="HTMLPreformatted"/>
        <w:rPr>
          <w:rFonts w:ascii="Arial" w:hAnsi="Arial" w:cs="Arial"/>
          <w:sz w:val="24"/>
          <w:szCs w:val="24"/>
        </w:rPr>
      </w:pPr>
    </w:p>
    <w:p w:rsidR="000E3508" w:rsidRPr="00DB128C" w:rsidRDefault="000E3508" w:rsidP="000E3508">
      <w:pPr>
        <w:pStyle w:val="HTMLPreformatted"/>
        <w:rPr>
          <w:rFonts w:ascii="Arial" w:hAnsi="Arial" w:cs="Arial"/>
          <w:sz w:val="24"/>
          <w:szCs w:val="24"/>
        </w:rPr>
      </w:pPr>
      <w:proofErr w:type="gramStart"/>
      <w:r w:rsidRPr="00DB128C">
        <w:rPr>
          <w:rFonts w:ascii="Arial" w:hAnsi="Arial" w:cs="Arial"/>
          <w:i/>
          <w:iCs/>
          <w:sz w:val="24"/>
          <w:szCs w:val="24"/>
        </w:rPr>
        <w:t>Research Credit.</w:t>
      </w:r>
      <w:proofErr w:type="gramEnd"/>
      <w:r w:rsidRPr="00DB128C">
        <w:rPr>
          <w:rFonts w:ascii="Arial" w:hAnsi="Arial" w:cs="Arial"/>
          <w:sz w:val="24"/>
          <w:szCs w:val="24"/>
        </w:rPr>
        <w:t> The 2012 Taxpayer Relief Act extends the research credit to apply to any amounts paid or incurred for qualified research and experimentation before Jan. 1, 2014.</w:t>
      </w:r>
    </w:p>
    <w:p w:rsidR="000E3508" w:rsidRPr="00DB128C" w:rsidRDefault="000E3508" w:rsidP="000E3508">
      <w:pPr>
        <w:pStyle w:val="HTMLPreformatted"/>
        <w:rPr>
          <w:rFonts w:ascii="Arial" w:hAnsi="Arial" w:cs="Arial"/>
          <w:sz w:val="24"/>
          <w:szCs w:val="24"/>
        </w:rPr>
      </w:pPr>
      <w:r w:rsidRPr="00DB128C">
        <w:rPr>
          <w:rFonts w:ascii="Arial" w:hAnsi="Arial" w:cs="Arial"/>
          <w:sz w:val="24"/>
          <w:szCs w:val="24"/>
        </w:rPr>
        <w:t> </w:t>
      </w:r>
    </w:p>
    <w:p w:rsidR="000E3508" w:rsidRPr="00DB128C" w:rsidRDefault="000E3508" w:rsidP="000E3508">
      <w:pPr>
        <w:pStyle w:val="HTMLPreformatted"/>
        <w:rPr>
          <w:rFonts w:ascii="Arial" w:hAnsi="Arial" w:cs="Arial"/>
          <w:sz w:val="24"/>
          <w:szCs w:val="24"/>
        </w:rPr>
      </w:pPr>
      <w:proofErr w:type="gramStart"/>
      <w:r w:rsidRPr="00DB128C">
        <w:rPr>
          <w:rFonts w:ascii="Arial" w:hAnsi="Arial" w:cs="Arial"/>
          <w:i/>
          <w:iCs/>
          <w:sz w:val="24"/>
          <w:szCs w:val="24"/>
        </w:rPr>
        <w:lastRenderedPageBreak/>
        <w:t>Differential Wage Credit for Activated Military Reservists.</w:t>
      </w:r>
      <w:proofErr w:type="gramEnd"/>
      <w:r w:rsidRPr="00DB128C">
        <w:rPr>
          <w:rFonts w:ascii="Arial" w:hAnsi="Arial" w:cs="Arial"/>
          <w:i/>
          <w:iCs/>
          <w:sz w:val="24"/>
          <w:szCs w:val="24"/>
        </w:rPr>
        <w:t> </w:t>
      </w:r>
      <w:r w:rsidRPr="00DB128C">
        <w:rPr>
          <w:rFonts w:ascii="Arial" w:hAnsi="Arial" w:cs="Arial"/>
          <w:sz w:val="24"/>
          <w:szCs w:val="24"/>
        </w:rPr>
        <w:t>Eligible small employers can claim a tax credit for up to 20 percent of the military differential wage payments it makes to activated military reservists through Dec. 31, 2013.</w:t>
      </w:r>
    </w:p>
    <w:p w:rsidR="000E3508" w:rsidRPr="00DB128C" w:rsidRDefault="000E3508" w:rsidP="000E3508">
      <w:pPr>
        <w:pStyle w:val="HTMLPreformatted"/>
        <w:rPr>
          <w:rFonts w:ascii="Arial" w:hAnsi="Arial" w:cs="Arial"/>
          <w:sz w:val="24"/>
          <w:szCs w:val="24"/>
        </w:rPr>
      </w:pPr>
      <w:r w:rsidRPr="00DB128C">
        <w:rPr>
          <w:rFonts w:ascii="Arial" w:hAnsi="Arial" w:cs="Arial"/>
          <w:sz w:val="24"/>
          <w:szCs w:val="24"/>
        </w:rPr>
        <w:t> </w:t>
      </w:r>
    </w:p>
    <w:p w:rsidR="000E3508" w:rsidRPr="00DB128C" w:rsidRDefault="00DB128C" w:rsidP="000E3508">
      <w:pPr>
        <w:pStyle w:val="HTMLPreformatted"/>
        <w:rPr>
          <w:rFonts w:ascii="Arial" w:hAnsi="Arial" w:cs="Arial"/>
          <w:b/>
          <w:bCs/>
          <w:sz w:val="24"/>
          <w:szCs w:val="24"/>
        </w:rPr>
      </w:pPr>
      <w:r>
        <w:rPr>
          <w:rFonts w:ascii="Arial" w:hAnsi="Arial" w:cs="Arial"/>
          <w:b/>
          <w:bCs/>
          <w:sz w:val="24"/>
          <w:szCs w:val="24"/>
        </w:rPr>
        <w:t>The Business-Personal Connection</w:t>
      </w:r>
    </w:p>
    <w:p w:rsidR="000E3508" w:rsidRPr="00DB128C" w:rsidRDefault="000E3508" w:rsidP="00E27836">
      <w:pPr>
        <w:pStyle w:val="HTMLPreformatted"/>
        <w:rPr>
          <w:rFonts w:ascii="Arial" w:hAnsi="Arial" w:cs="Arial"/>
          <w:sz w:val="24"/>
          <w:szCs w:val="24"/>
        </w:rPr>
      </w:pPr>
    </w:p>
    <w:p w:rsidR="000E3508" w:rsidRPr="00DB128C" w:rsidRDefault="00E27836" w:rsidP="00E27836">
      <w:pPr>
        <w:pStyle w:val="HTMLPreformatted"/>
        <w:rPr>
          <w:rFonts w:ascii="Arial" w:hAnsi="Arial" w:cs="Arial"/>
          <w:sz w:val="24"/>
          <w:szCs w:val="24"/>
        </w:rPr>
      </w:pPr>
      <w:r w:rsidRPr="00DB128C">
        <w:rPr>
          <w:rFonts w:ascii="Arial" w:hAnsi="Arial" w:cs="Arial"/>
          <w:sz w:val="24"/>
          <w:szCs w:val="24"/>
        </w:rPr>
        <w:t>Business tax pl</w:t>
      </w:r>
      <w:r w:rsidR="00A55024" w:rsidRPr="00DB128C">
        <w:rPr>
          <w:rFonts w:ascii="Arial" w:hAnsi="Arial" w:cs="Arial"/>
          <w:sz w:val="24"/>
          <w:szCs w:val="24"/>
        </w:rPr>
        <w:t>anning involves</w:t>
      </w:r>
      <w:r w:rsidRPr="00DB128C">
        <w:rPr>
          <w:rFonts w:ascii="Arial" w:hAnsi="Arial" w:cs="Arial"/>
          <w:sz w:val="24"/>
          <w:szCs w:val="24"/>
        </w:rPr>
        <w:t xml:space="preserve"> not only economic planning for that year, but also making wise tax decisions that will benefit the business for years to come. Tax-saving strategies must take into account short-term and long-term goals so that decisions made for the current tax year also represent sound ta</w:t>
      </w:r>
      <w:r w:rsidR="000E3508" w:rsidRPr="00DB128C">
        <w:rPr>
          <w:rFonts w:ascii="Arial" w:hAnsi="Arial" w:cs="Arial"/>
          <w:sz w:val="24"/>
          <w:szCs w:val="24"/>
        </w:rPr>
        <w:t>x decisions in following years.</w:t>
      </w:r>
    </w:p>
    <w:p w:rsidR="000E3508" w:rsidRPr="00DB128C" w:rsidRDefault="000E3508" w:rsidP="00E27836">
      <w:pPr>
        <w:pStyle w:val="HTMLPreformatted"/>
        <w:rPr>
          <w:rFonts w:ascii="Arial" w:hAnsi="Arial" w:cs="Arial"/>
          <w:sz w:val="24"/>
          <w:szCs w:val="24"/>
        </w:rPr>
      </w:pPr>
    </w:p>
    <w:p w:rsidR="00E27836" w:rsidRPr="00DB128C" w:rsidRDefault="00E27836" w:rsidP="00E27836">
      <w:pPr>
        <w:pStyle w:val="HTMLPreformatted"/>
        <w:rPr>
          <w:rFonts w:ascii="Arial" w:hAnsi="Arial" w:cs="Arial"/>
          <w:sz w:val="24"/>
          <w:szCs w:val="24"/>
        </w:rPr>
      </w:pPr>
      <w:r w:rsidRPr="00DB128C">
        <w:rPr>
          <w:rFonts w:ascii="Arial" w:hAnsi="Arial" w:cs="Arial"/>
          <w:sz w:val="24"/>
          <w:szCs w:val="24"/>
        </w:rPr>
        <w:t>Often, because business planning opportunities must be viewed in conjunctio</w:t>
      </w:r>
      <w:r w:rsidR="00A55024" w:rsidRPr="00DB128C">
        <w:rPr>
          <w:rFonts w:ascii="Arial" w:hAnsi="Arial" w:cs="Arial"/>
          <w:sz w:val="24"/>
          <w:szCs w:val="24"/>
        </w:rPr>
        <w:t xml:space="preserve">n with personal tax planning, </w:t>
      </w:r>
      <w:r w:rsidRPr="00DB128C">
        <w:rPr>
          <w:rFonts w:ascii="Arial" w:hAnsi="Arial" w:cs="Arial"/>
          <w:sz w:val="24"/>
          <w:szCs w:val="24"/>
        </w:rPr>
        <w:t>taxpayer</w:t>
      </w:r>
      <w:r w:rsidR="00A55024" w:rsidRPr="00DB128C">
        <w:rPr>
          <w:rFonts w:ascii="Arial" w:hAnsi="Arial" w:cs="Arial"/>
          <w:sz w:val="24"/>
          <w:szCs w:val="24"/>
        </w:rPr>
        <w:t>s</w:t>
      </w:r>
      <w:r w:rsidRPr="00DB128C">
        <w:rPr>
          <w:rFonts w:ascii="Arial" w:hAnsi="Arial" w:cs="Arial"/>
          <w:sz w:val="24"/>
          <w:szCs w:val="24"/>
        </w:rPr>
        <w:t xml:space="preserve"> should also consider planning tips affecting their individual return and investment considerations when making business decisions.</w:t>
      </w:r>
    </w:p>
    <w:p w:rsidR="00E27836" w:rsidRPr="00DB128C" w:rsidRDefault="00E27836" w:rsidP="00E27836">
      <w:pPr>
        <w:pStyle w:val="HTMLPreformatted"/>
        <w:rPr>
          <w:rFonts w:ascii="Arial" w:hAnsi="Arial" w:cs="Arial"/>
          <w:sz w:val="24"/>
          <w:szCs w:val="24"/>
        </w:rPr>
      </w:pPr>
    </w:p>
    <w:p w:rsidR="00A82714" w:rsidRPr="00DB128C" w:rsidRDefault="00ED1873" w:rsidP="00E27836">
      <w:pPr>
        <w:pStyle w:val="BodyText"/>
        <w:tabs>
          <w:tab w:val="clear" w:pos="-1080"/>
          <w:tab w:val="clear" w:pos="540"/>
          <w:tab w:val="clear" w:pos="1620"/>
        </w:tabs>
        <w:spacing w:line="240" w:lineRule="auto"/>
        <w:rPr>
          <w:rFonts w:ascii="Arial" w:hAnsi="Arial" w:cs="Arial"/>
          <w:szCs w:val="24"/>
        </w:rPr>
      </w:pPr>
      <w:r w:rsidRPr="00DB128C">
        <w:rPr>
          <w:rFonts w:ascii="Arial" w:hAnsi="Arial" w:cs="Arial"/>
          <w:szCs w:val="24"/>
        </w:rPr>
        <w:t>Tax provisions are constantly changing, so NSA recommends consulting with your tax advisor on these and other business tax issues.</w:t>
      </w:r>
    </w:p>
    <w:p w:rsidR="00A82714" w:rsidRPr="00DB128C" w:rsidRDefault="00A82714" w:rsidP="00E27836">
      <w:pPr>
        <w:pStyle w:val="BodyText"/>
        <w:tabs>
          <w:tab w:val="clear" w:pos="-1080"/>
          <w:tab w:val="clear" w:pos="540"/>
          <w:tab w:val="clear" w:pos="1620"/>
        </w:tabs>
        <w:spacing w:line="240" w:lineRule="auto"/>
        <w:rPr>
          <w:rFonts w:ascii="Arial" w:hAnsi="Arial" w:cs="Arial"/>
          <w:szCs w:val="24"/>
        </w:rPr>
      </w:pPr>
    </w:p>
    <w:p w:rsidR="007F40D8" w:rsidRPr="00DB128C" w:rsidRDefault="00836E8A" w:rsidP="00E27836">
      <w:pPr>
        <w:pStyle w:val="BodyText"/>
        <w:tabs>
          <w:tab w:val="clear" w:pos="-1080"/>
          <w:tab w:val="clear" w:pos="540"/>
          <w:tab w:val="clear" w:pos="1620"/>
        </w:tabs>
        <w:spacing w:line="240" w:lineRule="auto"/>
        <w:rPr>
          <w:rFonts w:ascii="Arial" w:hAnsi="Arial" w:cs="Arial"/>
          <w:szCs w:val="24"/>
        </w:rPr>
      </w:pPr>
      <w:proofErr w:type="gramStart"/>
      <w:r w:rsidRPr="00DB128C">
        <w:rPr>
          <w:rFonts w:ascii="Arial" w:hAnsi="Arial" w:cs="Arial"/>
          <w:szCs w:val="24"/>
        </w:rPr>
        <w:t xml:space="preserve">For more information and to locate an accountant in your area, visit </w:t>
      </w:r>
      <w:hyperlink r:id="rId7" w:history="1">
        <w:r w:rsidRPr="00DB128C">
          <w:rPr>
            <w:rStyle w:val="Hyperlink"/>
            <w:rFonts w:ascii="Arial" w:hAnsi="Arial" w:cs="Arial"/>
            <w:color w:val="auto"/>
            <w:szCs w:val="24"/>
          </w:rPr>
          <w:t>www.nsacct.org</w:t>
        </w:r>
      </w:hyperlink>
      <w:r w:rsidRPr="00DB128C">
        <w:rPr>
          <w:rFonts w:ascii="Arial" w:hAnsi="Arial" w:cs="Arial"/>
          <w:szCs w:val="24"/>
        </w:rPr>
        <w:t>.</w:t>
      </w:r>
      <w:proofErr w:type="gramEnd"/>
      <w:r w:rsidR="00283142" w:rsidRPr="00DB128C">
        <w:rPr>
          <w:rFonts w:ascii="Arial" w:hAnsi="Arial" w:cs="Arial"/>
          <w:szCs w:val="24"/>
        </w:rPr>
        <w:t xml:space="preserve"> For more information about CCH, visit </w:t>
      </w:r>
      <w:hyperlink r:id="rId8" w:history="1">
        <w:r w:rsidR="00A55024" w:rsidRPr="00DB128C">
          <w:rPr>
            <w:rStyle w:val="Hyperlink"/>
            <w:rFonts w:ascii="Arial" w:hAnsi="Arial" w:cs="Arial"/>
            <w:szCs w:val="24"/>
          </w:rPr>
          <w:t>www.tax.cchgroup.com</w:t>
        </w:r>
      </w:hyperlink>
      <w:r w:rsidR="00F249EF" w:rsidRPr="00DB128C">
        <w:rPr>
          <w:rFonts w:ascii="Arial" w:hAnsi="Arial" w:cs="Arial"/>
          <w:szCs w:val="24"/>
        </w:rPr>
        <w:t>.</w:t>
      </w:r>
    </w:p>
    <w:p w:rsidR="00A55024" w:rsidRPr="00DB128C" w:rsidRDefault="00A55024" w:rsidP="00E27836">
      <w:pPr>
        <w:pStyle w:val="BodyText"/>
        <w:tabs>
          <w:tab w:val="clear" w:pos="-1080"/>
          <w:tab w:val="clear" w:pos="540"/>
          <w:tab w:val="clear" w:pos="1620"/>
        </w:tabs>
        <w:spacing w:line="240" w:lineRule="auto"/>
        <w:rPr>
          <w:rFonts w:ascii="Arial" w:hAnsi="Arial" w:cs="Arial"/>
          <w:szCs w:val="24"/>
        </w:rPr>
      </w:pPr>
    </w:p>
    <w:p w:rsidR="004260F6" w:rsidRPr="00DB128C" w:rsidRDefault="00CC43D1" w:rsidP="00E27836">
      <w:pPr>
        <w:pStyle w:val="HTMLPreformatted"/>
        <w:jc w:val="center"/>
        <w:rPr>
          <w:rFonts w:ascii="Arial" w:hAnsi="Arial" w:cs="Arial"/>
          <w:sz w:val="24"/>
          <w:szCs w:val="24"/>
        </w:rPr>
      </w:pPr>
      <w:r w:rsidRPr="00DB128C">
        <w:rPr>
          <w:rFonts w:ascii="Arial" w:hAnsi="Arial" w:cs="Arial"/>
          <w:sz w:val="24"/>
          <w:szCs w:val="24"/>
        </w:rPr>
        <w:t># # #</w:t>
      </w:r>
    </w:p>
    <w:p w:rsidR="00E27836" w:rsidRDefault="00E27836" w:rsidP="00E27836">
      <w:pPr>
        <w:pStyle w:val="HTMLPreformatted"/>
        <w:jc w:val="center"/>
        <w:rPr>
          <w:rFonts w:ascii="Arial" w:hAnsi="Arial" w:cs="Arial"/>
          <w:sz w:val="28"/>
          <w:szCs w:val="28"/>
        </w:rPr>
      </w:pPr>
    </w:p>
    <w:p w:rsidR="00DB128C" w:rsidRPr="00F13B64" w:rsidRDefault="00DB128C" w:rsidP="00DB128C">
      <w:pPr>
        <w:spacing w:after="240"/>
        <w:rPr>
          <w:rFonts w:ascii="Arial" w:eastAsia="Calibri" w:hAnsi="Arial" w:cs="Arial"/>
          <w:sz w:val="22"/>
          <w:szCs w:val="22"/>
        </w:rPr>
      </w:pPr>
      <w:r w:rsidRPr="00F13B64">
        <w:rPr>
          <w:rFonts w:ascii="Arial" w:eastAsia="Calibri" w:hAnsi="Arial" w:cs="Arial"/>
          <w:sz w:val="22"/>
          <w:szCs w:val="22"/>
        </w:rPr>
        <w:t xml:space="preserve">NSA and its affiliates represent </w:t>
      </w:r>
      <w:r w:rsidR="00174A39">
        <w:rPr>
          <w:rFonts w:ascii="Arial" w:eastAsia="Calibri" w:hAnsi="Arial" w:cs="Arial"/>
          <w:sz w:val="22"/>
          <w:szCs w:val="22"/>
        </w:rPr>
        <w:t xml:space="preserve">more than </w:t>
      </w:r>
      <w:r>
        <w:rPr>
          <w:rFonts w:ascii="Arial" w:eastAsia="Calibri" w:hAnsi="Arial" w:cs="Arial"/>
          <w:sz w:val="22"/>
          <w:szCs w:val="22"/>
        </w:rPr>
        <w:t xml:space="preserve">10,000 </w:t>
      </w:r>
      <w:r w:rsidRPr="00F13B64">
        <w:rPr>
          <w:rFonts w:ascii="Arial" w:eastAsia="Calibri" w:hAnsi="Arial" w:cs="Arial"/>
          <w:sz w:val="22"/>
          <w:szCs w:val="22"/>
        </w:rPr>
        <w:t xml:space="preserve">members who provide accounting, auditing, tax preparation, financial and estate planning, and management services to approximately 19 million individuals and business clients. Most members are sole practitioners or partners in small- to medium- size accounting firms. NSA protects the public by requiring its members to adhere to a strict code of ethics. For more information, visit </w:t>
      </w:r>
      <w:hyperlink r:id="rId9" w:history="1">
        <w:r w:rsidRPr="00F13B64">
          <w:rPr>
            <w:rFonts w:ascii="Arial" w:eastAsia="Calibri" w:hAnsi="Arial" w:cs="Arial"/>
            <w:color w:val="0000FF"/>
            <w:sz w:val="22"/>
            <w:szCs w:val="22"/>
            <w:u w:val="single"/>
          </w:rPr>
          <w:t>www.nsacct.org</w:t>
        </w:r>
      </w:hyperlink>
      <w:r w:rsidRPr="00F13B64">
        <w:rPr>
          <w:rFonts w:ascii="Arial" w:eastAsia="Calibri" w:hAnsi="Arial" w:cs="Arial"/>
          <w:sz w:val="22"/>
          <w:szCs w:val="22"/>
        </w:rPr>
        <w:t>.</w:t>
      </w:r>
    </w:p>
    <w:p w:rsidR="00A55024" w:rsidRPr="00E27836" w:rsidRDefault="00A55024" w:rsidP="00A55024">
      <w:pPr>
        <w:pStyle w:val="HTMLPreformatted"/>
        <w:rPr>
          <w:rFonts w:ascii="Arial" w:hAnsi="Arial" w:cs="Arial"/>
          <w:sz w:val="28"/>
          <w:szCs w:val="28"/>
        </w:rPr>
      </w:pPr>
    </w:p>
    <w:sectPr w:rsidR="00A55024" w:rsidRPr="00E27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57"/>
    <w:multiLevelType w:val="multilevel"/>
    <w:tmpl w:val="CA88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826EA"/>
    <w:multiLevelType w:val="hybridMultilevel"/>
    <w:tmpl w:val="53C40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D4956"/>
    <w:multiLevelType w:val="hybridMultilevel"/>
    <w:tmpl w:val="7ABE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16CDD"/>
    <w:multiLevelType w:val="hybridMultilevel"/>
    <w:tmpl w:val="52889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3054A"/>
    <w:multiLevelType w:val="hybridMultilevel"/>
    <w:tmpl w:val="2B9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5550"/>
    <w:multiLevelType w:val="hybridMultilevel"/>
    <w:tmpl w:val="2B0E24F8"/>
    <w:lvl w:ilvl="0" w:tplc="7BA844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436B"/>
    <w:multiLevelType w:val="hybridMultilevel"/>
    <w:tmpl w:val="36DE3DFA"/>
    <w:lvl w:ilvl="0" w:tplc="7BA844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4489B"/>
    <w:multiLevelType w:val="hybridMultilevel"/>
    <w:tmpl w:val="4E40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FF7BC8"/>
    <w:multiLevelType w:val="hybridMultilevel"/>
    <w:tmpl w:val="AE102AC2"/>
    <w:lvl w:ilvl="0" w:tplc="409ADFFE">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AED0860"/>
    <w:multiLevelType w:val="hybridMultilevel"/>
    <w:tmpl w:val="044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374DF"/>
    <w:multiLevelType w:val="hybridMultilevel"/>
    <w:tmpl w:val="A52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56FDC"/>
    <w:multiLevelType w:val="hybridMultilevel"/>
    <w:tmpl w:val="127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37C64"/>
    <w:multiLevelType w:val="hybridMultilevel"/>
    <w:tmpl w:val="D90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312B3"/>
    <w:multiLevelType w:val="hybridMultilevel"/>
    <w:tmpl w:val="1752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1003A"/>
    <w:multiLevelType w:val="hybridMultilevel"/>
    <w:tmpl w:val="DB5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27648"/>
    <w:multiLevelType w:val="hybridMultilevel"/>
    <w:tmpl w:val="134EDF48"/>
    <w:lvl w:ilvl="0" w:tplc="7BA844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D7DD7"/>
    <w:multiLevelType w:val="hybridMultilevel"/>
    <w:tmpl w:val="06646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5E1D93"/>
    <w:multiLevelType w:val="hybridMultilevel"/>
    <w:tmpl w:val="89C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64D7A"/>
    <w:multiLevelType w:val="hybridMultilevel"/>
    <w:tmpl w:val="192642F4"/>
    <w:lvl w:ilvl="0" w:tplc="7BA844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902D8"/>
    <w:multiLevelType w:val="hybridMultilevel"/>
    <w:tmpl w:val="96D0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F31938"/>
    <w:multiLevelType w:val="hybridMultilevel"/>
    <w:tmpl w:val="30626E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491D70"/>
    <w:multiLevelType w:val="hybridMultilevel"/>
    <w:tmpl w:val="0CA6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9"/>
  </w:num>
  <w:num w:numId="5">
    <w:abstractNumId w:val="3"/>
  </w:num>
  <w:num w:numId="6">
    <w:abstractNumId w:val="20"/>
  </w:num>
  <w:num w:numId="7">
    <w:abstractNumId w:val="1"/>
  </w:num>
  <w:num w:numId="8">
    <w:abstractNumId w:val="8"/>
  </w:num>
  <w:num w:numId="9">
    <w:abstractNumId w:val="21"/>
  </w:num>
  <w:num w:numId="10">
    <w:abstractNumId w:val="14"/>
  </w:num>
  <w:num w:numId="11">
    <w:abstractNumId w:val="12"/>
  </w:num>
  <w:num w:numId="12">
    <w:abstractNumId w:val="9"/>
  </w:num>
  <w:num w:numId="13">
    <w:abstractNumId w:val="18"/>
  </w:num>
  <w:num w:numId="14">
    <w:abstractNumId w:val="5"/>
  </w:num>
  <w:num w:numId="15">
    <w:abstractNumId w:val="6"/>
  </w:num>
  <w:num w:numId="16">
    <w:abstractNumId w:val="15"/>
  </w:num>
  <w:num w:numId="17">
    <w:abstractNumId w:val="0"/>
  </w:num>
  <w:num w:numId="18">
    <w:abstractNumId w:val="10"/>
  </w:num>
  <w:num w:numId="19">
    <w:abstractNumId w:val="17"/>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6AE6BA-8316-4D4D-9940-B86530A7BF0F}"/>
    <w:docVar w:name="dgnword-eventsink" w:val="191322464"/>
  </w:docVars>
  <w:rsids>
    <w:rsidRoot w:val="004260F6"/>
    <w:rsid w:val="000431A8"/>
    <w:rsid w:val="00043F0C"/>
    <w:rsid w:val="00046140"/>
    <w:rsid w:val="000504CE"/>
    <w:rsid w:val="00052681"/>
    <w:rsid w:val="00071F64"/>
    <w:rsid w:val="00072AED"/>
    <w:rsid w:val="00077ACD"/>
    <w:rsid w:val="0008028C"/>
    <w:rsid w:val="000B0D83"/>
    <w:rsid w:val="000B223A"/>
    <w:rsid w:val="000B648F"/>
    <w:rsid w:val="000C3349"/>
    <w:rsid w:val="000E3508"/>
    <w:rsid w:val="000F4A8D"/>
    <w:rsid w:val="001257DF"/>
    <w:rsid w:val="00174A39"/>
    <w:rsid w:val="00192B51"/>
    <w:rsid w:val="00225468"/>
    <w:rsid w:val="0022727C"/>
    <w:rsid w:val="002716B2"/>
    <w:rsid w:val="00277F2B"/>
    <w:rsid w:val="00283142"/>
    <w:rsid w:val="0029515C"/>
    <w:rsid w:val="002B6214"/>
    <w:rsid w:val="002E4C01"/>
    <w:rsid w:val="00301E48"/>
    <w:rsid w:val="00306019"/>
    <w:rsid w:val="00306E4A"/>
    <w:rsid w:val="00311D3E"/>
    <w:rsid w:val="00323E57"/>
    <w:rsid w:val="00356962"/>
    <w:rsid w:val="00362A1B"/>
    <w:rsid w:val="003768E7"/>
    <w:rsid w:val="003A2F81"/>
    <w:rsid w:val="003E75BC"/>
    <w:rsid w:val="004260F6"/>
    <w:rsid w:val="004328FF"/>
    <w:rsid w:val="00436353"/>
    <w:rsid w:val="004A04B9"/>
    <w:rsid w:val="004D1FCB"/>
    <w:rsid w:val="004E3A29"/>
    <w:rsid w:val="00500CA5"/>
    <w:rsid w:val="005263D8"/>
    <w:rsid w:val="0054473C"/>
    <w:rsid w:val="00556BB9"/>
    <w:rsid w:val="005A6A51"/>
    <w:rsid w:val="005B1B5F"/>
    <w:rsid w:val="005E3973"/>
    <w:rsid w:val="00600895"/>
    <w:rsid w:val="0062773C"/>
    <w:rsid w:val="00650339"/>
    <w:rsid w:val="00654CC7"/>
    <w:rsid w:val="006606B3"/>
    <w:rsid w:val="00691262"/>
    <w:rsid w:val="007126FE"/>
    <w:rsid w:val="007145B8"/>
    <w:rsid w:val="007204D0"/>
    <w:rsid w:val="00734C94"/>
    <w:rsid w:val="00772C8B"/>
    <w:rsid w:val="007D4C34"/>
    <w:rsid w:val="007F40D8"/>
    <w:rsid w:val="008238A9"/>
    <w:rsid w:val="00836E8A"/>
    <w:rsid w:val="008B137E"/>
    <w:rsid w:val="008B2A1A"/>
    <w:rsid w:val="008E51E2"/>
    <w:rsid w:val="008F3BAD"/>
    <w:rsid w:val="00954C60"/>
    <w:rsid w:val="00991B04"/>
    <w:rsid w:val="00994D0C"/>
    <w:rsid w:val="009A2FCD"/>
    <w:rsid w:val="009D6366"/>
    <w:rsid w:val="00A2545F"/>
    <w:rsid w:val="00A34186"/>
    <w:rsid w:val="00A41380"/>
    <w:rsid w:val="00A54476"/>
    <w:rsid w:val="00A55024"/>
    <w:rsid w:val="00A65FD7"/>
    <w:rsid w:val="00A7347A"/>
    <w:rsid w:val="00A82714"/>
    <w:rsid w:val="00AB437D"/>
    <w:rsid w:val="00AB6134"/>
    <w:rsid w:val="00AE4569"/>
    <w:rsid w:val="00B118B2"/>
    <w:rsid w:val="00B5735E"/>
    <w:rsid w:val="00B94068"/>
    <w:rsid w:val="00BC323A"/>
    <w:rsid w:val="00BC51B9"/>
    <w:rsid w:val="00BD7737"/>
    <w:rsid w:val="00BE2250"/>
    <w:rsid w:val="00C02C79"/>
    <w:rsid w:val="00C45D0D"/>
    <w:rsid w:val="00C63837"/>
    <w:rsid w:val="00C8537E"/>
    <w:rsid w:val="00C94621"/>
    <w:rsid w:val="00CA0E0F"/>
    <w:rsid w:val="00CA3EE2"/>
    <w:rsid w:val="00CC43D1"/>
    <w:rsid w:val="00CC6387"/>
    <w:rsid w:val="00CE57D8"/>
    <w:rsid w:val="00CF04A5"/>
    <w:rsid w:val="00D41DDD"/>
    <w:rsid w:val="00D57AC9"/>
    <w:rsid w:val="00D81D19"/>
    <w:rsid w:val="00D84BCA"/>
    <w:rsid w:val="00D867AF"/>
    <w:rsid w:val="00DA303B"/>
    <w:rsid w:val="00DB128C"/>
    <w:rsid w:val="00DC0031"/>
    <w:rsid w:val="00DC0962"/>
    <w:rsid w:val="00DD2B5E"/>
    <w:rsid w:val="00E07613"/>
    <w:rsid w:val="00E21165"/>
    <w:rsid w:val="00E21705"/>
    <w:rsid w:val="00E27836"/>
    <w:rsid w:val="00E30A76"/>
    <w:rsid w:val="00E91E5E"/>
    <w:rsid w:val="00E93809"/>
    <w:rsid w:val="00ED1873"/>
    <w:rsid w:val="00ED1FF7"/>
    <w:rsid w:val="00EE1E4D"/>
    <w:rsid w:val="00EE2BC6"/>
    <w:rsid w:val="00EF1125"/>
    <w:rsid w:val="00F1061C"/>
    <w:rsid w:val="00F206BB"/>
    <w:rsid w:val="00F249EF"/>
    <w:rsid w:val="00F36CAE"/>
    <w:rsid w:val="00F7388E"/>
    <w:rsid w:val="00FA09DC"/>
    <w:rsid w:val="00FB535A"/>
    <w:rsid w:val="00F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E91E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2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260F6"/>
    <w:rPr>
      <w:color w:val="0000FF"/>
      <w:u w:val="single"/>
    </w:rPr>
  </w:style>
  <w:style w:type="paragraph" w:styleId="BodyText">
    <w:name w:val="Body Text"/>
    <w:basedOn w:val="Normal"/>
    <w:rsid w:val="00CC43D1"/>
    <w:pPr>
      <w:tabs>
        <w:tab w:val="left" w:pos="-1080"/>
        <w:tab w:val="left" w:pos="540"/>
        <w:tab w:val="left" w:pos="1620"/>
      </w:tabs>
      <w:spacing w:line="360" w:lineRule="auto"/>
    </w:pPr>
    <w:rPr>
      <w:szCs w:val="20"/>
    </w:rPr>
  </w:style>
  <w:style w:type="character" w:styleId="FollowedHyperlink">
    <w:name w:val="FollowedHyperlink"/>
    <w:rsid w:val="00A2545F"/>
    <w:rPr>
      <w:color w:val="800080"/>
      <w:u w:val="single"/>
    </w:rPr>
  </w:style>
  <w:style w:type="paragraph" w:styleId="BalloonText">
    <w:name w:val="Balloon Text"/>
    <w:basedOn w:val="Normal"/>
    <w:link w:val="BalloonTextChar"/>
    <w:rsid w:val="00225468"/>
    <w:rPr>
      <w:rFonts w:ascii="Tahoma" w:hAnsi="Tahoma" w:cs="Tahoma"/>
      <w:sz w:val="16"/>
      <w:szCs w:val="16"/>
    </w:rPr>
  </w:style>
  <w:style w:type="character" w:customStyle="1" w:styleId="BalloonTextChar">
    <w:name w:val="Balloon Text Char"/>
    <w:basedOn w:val="DefaultParagraphFont"/>
    <w:link w:val="BalloonText"/>
    <w:rsid w:val="00225468"/>
    <w:rPr>
      <w:rFonts w:ascii="Tahoma" w:hAnsi="Tahoma" w:cs="Tahoma"/>
      <w:sz w:val="16"/>
      <w:szCs w:val="16"/>
    </w:rPr>
  </w:style>
  <w:style w:type="paragraph" w:styleId="ListParagraph">
    <w:name w:val="List Paragraph"/>
    <w:basedOn w:val="Normal"/>
    <w:uiPriority w:val="34"/>
    <w:qFormat/>
    <w:rsid w:val="000431A8"/>
    <w:pPr>
      <w:ind w:left="720"/>
      <w:contextualSpacing/>
    </w:pPr>
  </w:style>
  <w:style w:type="character" w:styleId="CommentReference">
    <w:name w:val="annotation reference"/>
    <w:basedOn w:val="DefaultParagraphFont"/>
    <w:rsid w:val="00BE2250"/>
    <w:rPr>
      <w:sz w:val="16"/>
      <w:szCs w:val="16"/>
    </w:rPr>
  </w:style>
  <w:style w:type="paragraph" w:styleId="CommentText">
    <w:name w:val="annotation text"/>
    <w:basedOn w:val="Normal"/>
    <w:link w:val="CommentTextChar"/>
    <w:rsid w:val="00BE2250"/>
    <w:rPr>
      <w:sz w:val="20"/>
      <w:szCs w:val="20"/>
    </w:rPr>
  </w:style>
  <w:style w:type="character" w:customStyle="1" w:styleId="CommentTextChar">
    <w:name w:val="Comment Text Char"/>
    <w:basedOn w:val="DefaultParagraphFont"/>
    <w:link w:val="CommentText"/>
    <w:rsid w:val="00BE2250"/>
  </w:style>
  <w:style w:type="paragraph" w:styleId="CommentSubject">
    <w:name w:val="annotation subject"/>
    <w:basedOn w:val="CommentText"/>
    <w:next w:val="CommentText"/>
    <w:link w:val="CommentSubjectChar"/>
    <w:rsid w:val="00BE2250"/>
    <w:rPr>
      <w:b/>
      <w:bCs/>
    </w:rPr>
  </w:style>
  <w:style w:type="character" w:customStyle="1" w:styleId="CommentSubjectChar">
    <w:name w:val="Comment Subject Char"/>
    <w:basedOn w:val="CommentTextChar"/>
    <w:link w:val="CommentSubject"/>
    <w:rsid w:val="00BE2250"/>
    <w:rPr>
      <w:b/>
      <w:bCs/>
    </w:rPr>
  </w:style>
  <w:style w:type="character" w:customStyle="1" w:styleId="Heading2Char">
    <w:name w:val="Heading 2 Char"/>
    <w:basedOn w:val="DefaultParagraphFont"/>
    <w:link w:val="Heading2"/>
    <w:semiHidden/>
    <w:rsid w:val="00E91E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E91E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2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260F6"/>
    <w:rPr>
      <w:color w:val="0000FF"/>
      <w:u w:val="single"/>
    </w:rPr>
  </w:style>
  <w:style w:type="paragraph" w:styleId="BodyText">
    <w:name w:val="Body Text"/>
    <w:basedOn w:val="Normal"/>
    <w:rsid w:val="00CC43D1"/>
    <w:pPr>
      <w:tabs>
        <w:tab w:val="left" w:pos="-1080"/>
        <w:tab w:val="left" w:pos="540"/>
        <w:tab w:val="left" w:pos="1620"/>
      </w:tabs>
      <w:spacing w:line="360" w:lineRule="auto"/>
    </w:pPr>
    <w:rPr>
      <w:szCs w:val="20"/>
    </w:rPr>
  </w:style>
  <w:style w:type="character" w:styleId="FollowedHyperlink">
    <w:name w:val="FollowedHyperlink"/>
    <w:rsid w:val="00A2545F"/>
    <w:rPr>
      <w:color w:val="800080"/>
      <w:u w:val="single"/>
    </w:rPr>
  </w:style>
  <w:style w:type="paragraph" w:styleId="BalloonText">
    <w:name w:val="Balloon Text"/>
    <w:basedOn w:val="Normal"/>
    <w:link w:val="BalloonTextChar"/>
    <w:rsid w:val="00225468"/>
    <w:rPr>
      <w:rFonts w:ascii="Tahoma" w:hAnsi="Tahoma" w:cs="Tahoma"/>
      <w:sz w:val="16"/>
      <w:szCs w:val="16"/>
    </w:rPr>
  </w:style>
  <w:style w:type="character" w:customStyle="1" w:styleId="BalloonTextChar">
    <w:name w:val="Balloon Text Char"/>
    <w:basedOn w:val="DefaultParagraphFont"/>
    <w:link w:val="BalloonText"/>
    <w:rsid w:val="00225468"/>
    <w:rPr>
      <w:rFonts w:ascii="Tahoma" w:hAnsi="Tahoma" w:cs="Tahoma"/>
      <w:sz w:val="16"/>
      <w:szCs w:val="16"/>
    </w:rPr>
  </w:style>
  <w:style w:type="paragraph" w:styleId="ListParagraph">
    <w:name w:val="List Paragraph"/>
    <w:basedOn w:val="Normal"/>
    <w:uiPriority w:val="34"/>
    <w:qFormat/>
    <w:rsid w:val="000431A8"/>
    <w:pPr>
      <w:ind w:left="720"/>
      <w:contextualSpacing/>
    </w:pPr>
  </w:style>
  <w:style w:type="character" w:styleId="CommentReference">
    <w:name w:val="annotation reference"/>
    <w:basedOn w:val="DefaultParagraphFont"/>
    <w:rsid w:val="00BE2250"/>
    <w:rPr>
      <w:sz w:val="16"/>
      <w:szCs w:val="16"/>
    </w:rPr>
  </w:style>
  <w:style w:type="paragraph" w:styleId="CommentText">
    <w:name w:val="annotation text"/>
    <w:basedOn w:val="Normal"/>
    <w:link w:val="CommentTextChar"/>
    <w:rsid w:val="00BE2250"/>
    <w:rPr>
      <w:sz w:val="20"/>
      <w:szCs w:val="20"/>
    </w:rPr>
  </w:style>
  <w:style w:type="character" w:customStyle="1" w:styleId="CommentTextChar">
    <w:name w:val="Comment Text Char"/>
    <w:basedOn w:val="DefaultParagraphFont"/>
    <w:link w:val="CommentText"/>
    <w:rsid w:val="00BE2250"/>
  </w:style>
  <w:style w:type="paragraph" w:styleId="CommentSubject">
    <w:name w:val="annotation subject"/>
    <w:basedOn w:val="CommentText"/>
    <w:next w:val="CommentText"/>
    <w:link w:val="CommentSubjectChar"/>
    <w:rsid w:val="00BE2250"/>
    <w:rPr>
      <w:b/>
      <w:bCs/>
    </w:rPr>
  </w:style>
  <w:style w:type="character" w:customStyle="1" w:styleId="CommentSubjectChar">
    <w:name w:val="Comment Subject Char"/>
    <w:basedOn w:val="CommentTextChar"/>
    <w:link w:val="CommentSubject"/>
    <w:rsid w:val="00BE2250"/>
    <w:rPr>
      <w:b/>
      <w:bCs/>
    </w:rPr>
  </w:style>
  <w:style w:type="character" w:customStyle="1" w:styleId="Heading2Char">
    <w:name w:val="Heading 2 Char"/>
    <w:basedOn w:val="DefaultParagraphFont"/>
    <w:link w:val="Heading2"/>
    <w:semiHidden/>
    <w:rsid w:val="00E91E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5011">
      <w:bodyDiv w:val="1"/>
      <w:marLeft w:val="0"/>
      <w:marRight w:val="0"/>
      <w:marTop w:val="0"/>
      <w:marBottom w:val="0"/>
      <w:divBdr>
        <w:top w:val="none" w:sz="0" w:space="0" w:color="auto"/>
        <w:left w:val="none" w:sz="0" w:space="0" w:color="auto"/>
        <w:bottom w:val="none" w:sz="0" w:space="0" w:color="auto"/>
        <w:right w:val="none" w:sz="0" w:space="0" w:color="auto"/>
      </w:divBdr>
    </w:div>
    <w:div w:id="317881519">
      <w:bodyDiv w:val="1"/>
      <w:marLeft w:val="0"/>
      <w:marRight w:val="0"/>
      <w:marTop w:val="0"/>
      <w:marBottom w:val="0"/>
      <w:divBdr>
        <w:top w:val="none" w:sz="0" w:space="0" w:color="auto"/>
        <w:left w:val="none" w:sz="0" w:space="0" w:color="auto"/>
        <w:bottom w:val="none" w:sz="0" w:space="0" w:color="auto"/>
        <w:right w:val="none" w:sz="0" w:space="0" w:color="auto"/>
      </w:divBdr>
    </w:div>
    <w:div w:id="347023571">
      <w:bodyDiv w:val="1"/>
      <w:marLeft w:val="0"/>
      <w:marRight w:val="0"/>
      <w:marTop w:val="0"/>
      <w:marBottom w:val="0"/>
      <w:divBdr>
        <w:top w:val="none" w:sz="0" w:space="0" w:color="auto"/>
        <w:left w:val="none" w:sz="0" w:space="0" w:color="auto"/>
        <w:bottom w:val="none" w:sz="0" w:space="0" w:color="auto"/>
        <w:right w:val="none" w:sz="0" w:space="0" w:color="auto"/>
      </w:divBdr>
    </w:div>
    <w:div w:id="383256536">
      <w:bodyDiv w:val="1"/>
      <w:marLeft w:val="0"/>
      <w:marRight w:val="0"/>
      <w:marTop w:val="0"/>
      <w:marBottom w:val="0"/>
      <w:divBdr>
        <w:top w:val="none" w:sz="0" w:space="0" w:color="auto"/>
        <w:left w:val="none" w:sz="0" w:space="0" w:color="auto"/>
        <w:bottom w:val="none" w:sz="0" w:space="0" w:color="auto"/>
        <w:right w:val="none" w:sz="0" w:space="0" w:color="auto"/>
      </w:divBdr>
    </w:div>
    <w:div w:id="444354149">
      <w:bodyDiv w:val="1"/>
      <w:marLeft w:val="0"/>
      <w:marRight w:val="0"/>
      <w:marTop w:val="0"/>
      <w:marBottom w:val="0"/>
      <w:divBdr>
        <w:top w:val="none" w:sz="0" w:space="0" w:color="auto"/>
        <w:left w:val="none" w:sz="0" w:space="0" w:color="auto"/>
        <w:bottom w:val="none" w:sz="0" w:space="0" w:color="auto"/>
        <w:right w:val="none" w:sz="0" w:space="0" w:color="auto"/>
      </w:divBdr>
    </w:div>
    <w:div w:id="948392575">
      <w:bodyDiv w:val="1"/>
      <w:marLeft w:val="0"/>
      <w:marRight w:val="0"/>
      <w:marTop w:val="0"/>
      <w:marBottom w:val="0"/>
      <w:divBdr>
        <w:top w:val="none" w:sz="0" w:space="0" w:color="auto"/>
        <w:left w:val="none" w:sz="0" w:space="0" w:color="auto"/>
        <w:bottom w:val="none" w:sz="0" w:space="0" w:color="auto"/>
        <w:right w:val="none" w:sz="0" w:space="0" w:color="auto"/>
      </w:divBdr>
    </w:div>
    <w:div w:id="1453741714">
      <w:bodyDiv w:val="1"/>
      <w:marLeft w:val="0"/>
      <w:marRight w:val="0"/>
      <w:marTop w:val="0"/>
      <w:marBottom w:val="0"/>
      <w:divBdr>
        <w:top w:val="none" w:sz="0" w:space="0" w:color="auto"/>
        <w:left w:val="none" w:sz="0" w:space="0" w:color="auto"/>
        <w:bottom w:val="none" w:sz="0" w:space="0" w:color="auto"/>
        <w:right w:val="none" w:sz="0" w:space="0" w:color="auto"/>
      </w:divBdr>
    </w:div>
    <w:div w:id="1507011617">
      <w:bodyDiv w:val="1"/>
      <w:marLeft w:val="0"/>
      <w:marRight w:val="0"/>
      <w:marTop w:val="0"/>
      <w:marBottom w:val="0"/>
      <w:divBdr>
        <w:top w:val="none" w:sz="0" w:space="0" w:color="auto"/>
        <w:left w:val="none" w:sz="0" w:space="0" w:color="auto"/>
        <w:bottom w:val="none" w:sz="0" w:space="0" w:color="auto"/>
        <w:right w:val="none" w:sz="0" w:space="0" w:color="auto"/>
      </w:divBdr>
    </w:div>
    <w:div w:id="1723868244">
      <w:bodyDiv w:val="1"/>
      <w:marLeft w:val="0"/>
      <w:marRight w:val="0"/>
      <w:marTop w:val="0"/>
      <w:marBottom w:val="0"/>
      <w:divBdr>
        <w:top w:val="none" w:sz="0" w:space="0" w:color="auto"/>
        <w:left w:val="none" w:sz="0" w:space="0" w:color="auto"/>
        <w:bottom w:val="none" w:sz="0" w:space="0" w:color="auto"/>
        <w:right w:val="none" w:sz="0" w:space="0" w:color="auto"/>
      </w:divBdr>
    </w:div>
    <w:div w:id="18714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cchgroup.com" TargetMode="External"/><Relationship Id="rId3" Type="http://schemas.microsoft.com/office/2007/relationships/stylesWithEffects" Target="stylesWithEffects.xml"/><Relationship Id="rId7" Type="http://schemas.openxmlformats.org/officeDocument/2006/relationships/hyperlink" Target="http://www.nsac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a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NSA Press Release on Hurricane Preparation</vt:lpstr>
    </vt:vector>
  </TitlesOfParts>
  <Company>Microsoft</Company>
  <LinksUpToDate>false</LinksUpToDate>
  <CharactersWithSpaces>12400</CharactersWithSpaces>
  <SharedDoc>false</SharedDoc>
  <HLinks>
    <vt:vector size="6" baseType="variant">
      <vt:variant>
        <vt:i4>3407932</vt:i4>
      </vt:variant>
      <vt:variant>
        <vt:i4>0</vt:i4>
      </vt:variant>
      <vt:variant>
        <vt:i4>0</vt:i4>
      </vt:variant>
      <vt:variant>
        <vt:i4>5</vt:i4>
      </vt:variant>
      <vt:variant>
        <vt:lpwstr>http://www.nsacct.org/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Press Release on Hurricane Preparation</dc:title>
  <dc:creator>Al Rickard</dc:creator>
  <cp:lastModifiedBy>Al Rickard</cp:lastModifiedBy>
  <cp:revision>5</cp:revision>
  <dcterms:created xsi:type="dcterms:W3CDTF">2013-11-07T21:46:00Z</dcterms:created>
  <dcterms:modified xsi:type="dcterms:W3CDTF">2013-11-19T11:25:00Z</dcterms:modified>
</cp:coreProperties>
</file>