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doc_1"/>
    <w:p w:rsidR="003909AE" w:rsidRDefault="00ED04AC">
      <w:pPr>
        <w:widowControl w:val="0"/>
        <w:autoSpaceDE w:val="0"/>
        <w:autoSpaceDN w:val="0"/>
        <w:adjustRightInd w:val="0"/>
        <w:spacing w:before="170" w:after="0" w:line="240" w:lineRule="auto"/>
        <w:rPr>
          <w:rFonts w:ascii="ArialMTPro" w:hAnsi="ArialMTPro" w:cs="ArialMTPro"/>
          <w:b/>
          <w:bCs/>
          <w:color w:val="000000"/>
          <w:sz w:val="28"/>
          <w:szCs w:val="28"/>
        </w:rPr>
      </w:pPr>
      <w:r>
        <w:rPr>
          <w:rFonts w:ascii="ArialMTPro" w:hAnsi="ArialMTPro" w:cs="ArialMTPro"/>
          <w:b/>
          <w:bCs/>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-411480</wp:posOffset>
                </wp:positionV>
                <wp:extent cx="6172200" cy="6019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01980"/>
                        </a:xfrm>
                        <a:prstGeom prst="rect">
                          <a:avLst/>
                        </a:prstGeom>
                        <a:solidFill>
                          <a:srgbClr val="000000"/>
                        </a:solidFill>
                        <a:ln w="9525">
                          <a:solidFill>
                            <a:srgbClr val="000000"/>
                          </a:solidFill>
                          <a:miter lim="800000"/>
                          <a:headEnd/>
                          <a:tailEnd/>
                        </a:ln>
                      </wps:spPr>
                      <wps:txbx>
                        <w:txbxContent>
                          <w:p w:rsidR="003909AE" w:rsidRDefault="00ED04AC" w:rsidP="003909AE">
                            <w:r>
                              <w:rPr>
                                <w:rFonts w:ascii="ArialMTPro" w:hAnsi="ArialMTPro" w:cs="ArialMTPro"/>
                                <w:b/>
                                <w:bCs/>
                                <w:noProof/>
                                <w:color w:val="000000"/>
                                <w:sz w:val="28"/>
                                <w:szCs w:val="28"/>
                              </w:rPr>
                              <w:drawing>
                                <wp:inline distT="0" distB="0" distL="0" distR="0">
                                  <wp:extent cx="2270760" cy="403860"/>
                                  <wp:effectExtent l="0" t="0" r="0" b="0"/>
                                  <wp:docPr id="36" name="Picture 36" descr="C:\Users\eerickson\AppData\Local\Microsoft\Windows\INetCache\Content.Word\W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eerickson\AppData\Local\Microsoft\Windows\INetCache\Content.Word\WK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0760" cy="4038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pt;margin-top:-32.4pt;width:486pt;height: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" fillcolor="black">
                <v:textbox>
                  <w:txbxContent>
                    <w:p w:rsidR="003909AE" w:rsidRDefault="00ED04AC" w:rsidP="003909AE">
                      <w:r>
                        <w:rPr>
                          <w:rFonts w:ascii="ArialMTPro" w:hAnsi="ArialMTPro" w:cs="ArialMTPro"/>
                          <w:b/>
                          <w:bCs/>
                          <w:noProof/>
                          <w:color w:val="000000"/>
                          <w:sz w:val="28"/>
                          <w:szCs w:val="28"/>
                        </w:rPr>
                        <w:drawing>
                          <wp:inline distT="0" distB="0" distL="0" distR="0">
                            <wp:extent cx="2270760" cy="403860"/>
                            <wp:effectExtent l="0" t="0" r="0" b="0"/>
                            <wp:docPr id="36" name="Picture 36" descr="C:\Users\eerickson\AppData\Local\Microsoft\Windows\INetCache\Content.Word\W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eerickson\AppData\Local\Microsoft\Windows\INetCache\Content.Word\WK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760" cy="403860"/>
                                    </a:xfrm>
                                    <a:prstGeom prst="rect">
                                      <a:avLst/>
                                    </a:prstGeom>
                                    <a:noFill/>
                                    <a:ln>
                                      <a:noFill/>
                                    </a:ln>
                                  </pic:spPr>
                                </pic:pic>
                              </a:graphicData>
                            </a:graphic>
                          </wp:inline>
                        </w:drawing>
                      </w:r>
                    </w:p>
                  </w:txbxContent>
                </v:textbox>
              </v:shape>
            </w:pict>
          </mc:Fallback>
        </mc:AlternateContent>
      </w:r>
    </w:p>
    <w:p w:rsidR="00E052E6" w:rsidRPr="003909AE" w:rsidRDefault="004D1F98" w:rsidP="003909AE">
      <w:pPr>
        <w:widowControl w:val="0"/>
        <w:autoSpaceDE w:val="0"/>
        <w:autoSpaceDN w:val="0"/>
        <w:adjustRightInd w:val="0"/>
        <w:spacing w:before="170" w:after="0" w:line="240" w:lineRule="auto"/>
        <w:rPr>
          <w:rFonts w:cstheme="minorHAnsi"/>
          <w:sz w:val="28"/>
          <w:szCs w:val="28"/>
        </w:rPr>
      </w:pPr>
      <w:r w:rsidRPr="003909AE">
        <w:rPr>
          <w:rFonts w:cstheme="minorHAnsi"/>
          <w:b/>
          <w:bCs/>
          <w:color w:val="000000"/>
          <w:sz w:val="28"/>
          <w:szCs w:val="28"/>
        </w:rPr>
        <w:t>Federal Tax Day - Current, C.1, House Ways and Means Committee Approves Tax Reform 2.0 Package, (Sep. 14, 2018)</w:t>
      </w:r>
      <w:bookmarkEnd w:id="0"/>
    </w:p>
    <w:p w:rsidR="004D1F98" w:rsidRPr="003909AE" w:rsidRDefault="004D1F98">
      <w:pPr>
        <w:widowControl w:val="0"/>
        <w:autoSpaceDE w:val="0"/>
        <w:autoSpaceDN w:val="0"/>
        <w:adjustRightInd w:val="0"/>
        <w:spacing w:before="113" w:after="0" w:line="240" w:lineRule="auto"/>
        <w:rPr>
          <w:rFonts w:cstheme="minorHAnsi"/>
        </w:rPr>
      </w:pPr>
      <w:r w:rsidRPr="003909AE">
        <w:rPr>
          <w:rFonts w:cstheme="minorHAnsi"/>
          <w:color w:val="000000"/>
        </w:rPr>
        <w:t>House Republican tax writers have advanced a "Tax Reform 2.0" legislative package. The measure is expected to reach the House floor for a full chamber vote by the end of this month.</w:t>
      </w:r>
    </w:p>
    <w:p w:rsidR="004D1F98" w:rsidRPr="003909AE" w:rsidRDefault="004D1F98">
      <w:pPr>
        <w:widowControl w:val="0"/>
        <w:autoSpaceDE w:val="0"/>
        <w:autoSpaceDN w:val="0"/>
        <w:adjustRightInd w:val="0"/>
        <w:spacing w:before="85" w:after="0" w:line="240" w:lineRule="auto"/>
        <w:rPr>
          <w:rFonts w:cstheme="minorHAnsi"/>
        </w:rPr>
      </w:pPr>
      <w:r w:rsidRPr="003909AE">
        <w:rPr>
          <w:rFonts w:cstheme="minorHAnsi"/>
          <w:color w:val="000000"/>
        </w:rPr>
        <w:t>The House Ways and Means Committee debated the GOP Tax Reform 2.0 three-bill package in a September 13 markup that ran almost seven hours. The package focuses on making permanent individual and small business tax cuts, and creating incentives for retirement savings and business innovation. The following three bills were approved:</w:t>
      </w:r>
    </w:p>
    <w:p w:rsidR="004D1F98" w:rsidRPr="003909AE" w:rsidRDefault="004D1F98">
      <w:pPr>
        <w:widowControl w:val="0"/>
        <w:tabs>
          <w:tab w:val="left" w:pos="850"/>
        </w:tabs>
        <w:autoSpaceDE w:val="0"/>
        <w:autoSpaceDN w:val="0"/>
        <w:adjustRightInd w:val="0"/>
        <w:spacing w:after="0" w:line="240" w:lineRule="auto"/>
        <w:ind w:left="850" w:hanging="850"/>
        <w:rPr>
          <w:rFonts w:cstheme="minorHAnsi"/>
        </w:rPr>
      </w:pPr>
      <w:r w:rsidRPr="003909AE">
        <w:rPr>
          <w:rFonts w:cstheme="minorHAnsi"/>
        </w:rPr>
        <w:tab/>
      </w:r>
      <w:r w:rsidRPr="003909AE">
        <w:rPr>
          <w:rFonts w:cstheme="minorHAnsi"/>
          <w:color w:val="000000"/>
        </w:rPr>
        <w:t>Protecting Family and Small Business Tax Cuts Bill of 2018 (</w:t>
      </w:r>
      <w:hyperlink r:id="rId9" w:history="1">
        <w:r w:rsidRPr="003909AE">
          <w:rPr>
            <w:rFonts w:cstheme="minorHAnsi"/>
            <w:color w:val="0000FF"/>
            <w:u w:val="single" w:color="0000FF"/>
          </w:rPr>
          <w:t>HR 6760</w:t>
        </w:r>
      </w:hyperlink>
      <w:r w:rsidRPr="003909AE">
        <w:rPr>
          <w:rFonts w:cstheme="minorHAnsi"/>
          <w:color w:val="000000"/>
        </w:rPr>
        <w:t>);</w:t>
      </w:r>
    </w:p>
    <w:p w:rsidR="004D1F98" w:rsidRPr="003909AE" w:rsidRDefault="004D1F98">
      <w:pPr>
        <w:widowControl w:val="0"/>
        <w:tabs>
          <w:tab w:val="left" w:pos="850"/>
        </w:tabs>
        <w:autoSpaceDE w:val="0"/>
        <w:autoSpaceDN w:val="0"/>
        <w:adjustRightInd w:val="0"/>
        <w:spacing w:after="0" w:line="240" w:lineRule="auto"/>
        <w:ind w:left="850" w:hanging="850"/>
        <w:rPr>
          <w:rFonts w:cstheme="minorHAnsi"/>
        </w:rPr>
      </w:pPr>
      <w:r w:rsidRPr="003909AE">
        <w:rPr>
          <w:rFonts w:cstheme="minorHAnsi"/>
        </w:rPr>
        <w:tab/>
      </w:r>
      <w:r w:rsidRPr="003909AE">
        <w:rPr>
          <w:rFonts w:cstheme="minorHAnsi"/>
          <w:color w:val="000000"/>
        </w:rPr>
        <w:t>Family Savings Bill of 2018 (</w:t>
      </w:r>
      <w:hyperlink r:id="rId10" w:history="1">
        <w:r w:rsidRPr="003909AE">
          <w:rPr>
            <w:rFonts w:cstheme="minorHAnsi"/>
            <w:color w:val="0000FF"/>
            <w:u w:val="single" w:color="0000FF"/>
          </w:rPr>
          <w:t>HR 6757</w:t>
        </w:r>
      </w:hyperlink>
      <w:r w:rsidRPr="003909AE">
        <w:rPr>
          <w:rFonts w:cstheme="minorHAnsi"/>
          <w:color w:val="000000"/>
        </w:rPr>
        <w:t>); and</w:t>
      </w:r>
    </w:p>
    <w:p w:rsidR="004D1F98" w:rsidRPr="003909AE" w:rsidRDefault="004D1F98">
      <w:pPr>
        <w:widowControl w:val="0"/>
        <w:tabs>
          <w:tab w:val="left" w:pos="850"/>
        </w:tabs>
        <w:autoSpaceDE w:val="0"/>
        <w:autoSpaceDN w:val="0"/>
        <w:adjustRightInd w:val="0"/>
        <w:spacing w:after="0" w:line="240" w:lineRule="auto"/>
        <w:ind w:left="850" w:hanging="850"/>
        <w:rPr>
          <w:rFonts w:cstheme="minorHAnsi"/>
        </w:rPr>
      </w:pPr>
      <w:r w:rsidRPr="003909AE">
        <w:rPr>
          <w:rFonts w:cstheme="minorHAnsi"/>
        </w:rPr>
        <w:tab/>
      </w:r>
      <w:r w:rsidRPr="003909AE">
        <w:rPr>
          <w:rFonts w:cstheme="minorHAnsi"/>
          <w:color w:val="000000"/>
        </w:rPr>
        <w:t>American Innovation Bill of 2018 (</w:t>
      </w:r>
      <w:hyperlink r:id="rId11" w:history="1">
        <w:r w:rsidRPr="003909AE">
          <w:rPr>
            <w:rFonts w:cstheme="minorHAnsi"/>
            <w:color w:val="0000FF"/>
            <w:u w:val="single" w:color="0000FF"/>
          </w:rPr>
          <w:t>HR 6756</w:t>
        </w:r>
      </w:hyperlink>
      <w:r w:rsidRPr="003909AE">
        <w:rPr>
          <w:rFonts w:cstheme="minorHAnsi"/>
          <w:color w:val="000000"/>
        </w:rPr>
        <w:t>).</w:t>
      </w:r>
    </w:p>
    <w:p w:rsidR="004D1F98" w:rsidRPr="003909AE" w:rsidRDefault="004D1F98">
      <w:pPr>
        <w:widowControl w:val="0"/>
        <w:autoSpaceDE w:val="0"/>
        <w:autoSpaceDN w:val="0"/>
        <w:adjustRightInd w:val="0"/>
        <w:spacing w:before="170" w:after="0" w:line="240" w:lineRule="auto"/>
        <w:rPr>
          <w:rFonts w:cstheme="minorHAnsi"/>
          <w:sz w:val="24"/>
          <w:szCs w:val="24"/>
        </w:rPr>
      </w:pPr>
      <w:r w:rsidRPr="003909AE">
        <w:rPr>
          <w:rFonts w:cstheme="minorHAnsi"/>
          <w:b/>
          <w:bCs/>
          <w:color w:val="000000"/>
          <w:sz w:val="24"/>
          <w:szCs w:val="24"/>
        </w:rPr>
        <w:t>Individual, Small Business Tax Cuts</w:t>
      </w:r>
      <w:r w:rsidR="003909AE">
        <w:rPr>
          <w:rFonts w:cstheme="minorHAnsi"/>
          <w:sz w:val="24"/>
          <w:szCs w:val="24"/>
        </w:rPr>
        <w:br/>
      </w:r>
      <w:r w:rsidRPr="003909AE">
        <w:rPr>
          <w:rFonts w:cstheme="minorHAnsi"/>
          <w:color w:val="000000"/>
        </w:rPr>
        <w:t>HR 6760 would make permanent the individual and small business tax cuts enacted temporarily through 2025 under the Tax Cuts and Jobs Act (TCJA) (</w:t>
      </w:r>
      <w:hyperlink r:id="rId12" w:history="1">
        <w:r w:rsidRPr="003909AE">
          <w:rPr>
            <w:rFonts w:cstheme="minorHAnsi"/>
            <w:color w:val="0000FF"/>
            <w:u w:val="single" w:color="0000FF"/>
          </w:rPr>
          <w:t>P.L. 115-97</w:t>
        </w:r>
      </w:hyperlink>
      <w:r w:rsidRPr="003909AE">
        <w:rPr>
          <w:rFonts w:cstheme="minorHAnsi"/>
          <w:color w:val="000000"/>
        </w:rPr>
        <w:t>). These TCJA provisions were made temporary to comply with certain Senate budget rules applicable to the reconciliation process Republicans used to pass tax reform with only a simply GOP majority. Notably, TCJA provisions that would be made permanent under HR 6750 include, among others:</w:t>
      </w:r>
    </w:p>
    <w:p w:rsidR="004D1F98" w:rsidRPr="003909AE" w:rsidRDefault="004D1F98" w:rsidP="00E052E6">
      <w:pPr>
        <w:widowControl w:val="0"/>
        <w:numPr>
          <w:ilvl w:val="0"/>
          <w:numId w:val="1"/>
        </w:numPr>
        <w:tabs>
          <w:tab w:val="left" w:pos="850"/>
        </w:tabs>
        <w:autoSpaceDE w:val="0"/>
        <w:autoSpaceDN w:val="0"/>
        <w:adjustRightInd w:val="0"/>
        <w:spacing w:after="0" w:line="240" w:lineRule="auto"/>
        <w:rPr>
          <w:rFonts w:cstheme="minorHAnsi"/>
        </w:rPr>
      </w:pPr>
      <w:r w:rsidRPr="003909AE">
        <w:rPr>
          <w:rFonts w:cstheme="minorHAnsi"/>
          <w:color w:val="000000"/>
        </w:rPr>
        <w:t>the lowered individual income tax rates;</w:t>
      </w:r>
    </w:p>
    <w:p w:rsidR="004D1F98" w:rsidRPr="003909AE" w:rsidRDefault="004D1F98" w:rsidP="00E052E6">
      <w:pPr>
        <w:widowControl w:val="0"/>
        <w:numPr>
          <w:ilvl w:val="0"/>
          <w:numId w:val="1"/>
        </w:numPr>
        <w:tabs>
          <w:tab w:val="left" w:pos="850"/>
        </w:tabs>
        <w:autoSpaceDE w:val="0"/>
        <w:autoSpaceDN w:val="0"/>
        <w:adjustRightInd w:val="0"/>
        <w:spacing w:after="0" w:line="240" w:lineRule="auto"/>
        <w:rPr>
          <w:rFonts w:cstheme="minorHAnsi"/>
        </w:rPr>
      </w:pPr>
      <w:r w:rsidRPr="003909AE">
        <w:rPr>
          <w:rFonts w:cstheme="minorHAnsi"/>
          <w:color w:val="000000"/>
        </w:rPr>
        <w:t>20 percent deduction of income for qualifying pass-through entities;</w:t>
      </w:r>
    </w:p>
    <w:p w:rsidR="004D1F98" w:rsidRPr="003909AE" w:rsidRDefault="004D1F98" w:rsidP="00E052E6">
      <w:pPr>
        <w:widowControl w:val="0"/>
        <w:numPr>
          <w:ilvl w:val="0"/>
          <w:numId w:val="1"/>
        </w:numPr>
        <w:tabs>
          <w:tab w:val="left" w:pos="850"/>
        </w:tabs>
        <w:autoSpaceDE w:val="0"/>
        <w:autoSpaceDN w:val="0"/>
        <w:adjustRightInd w:val="0"/>
        <w:spacing w:after="0" w:line="240" w:lineRule="auto"/>
        <w:rPr>
          <w:rFonts w:cstheme="minorHAnsi"/>
        </w:rPr>
      </w:pPr>
      <w:r w:rsidRPr="003909AE">
        <w:rPr>
          <w:rFonts w:cstheme="minorHAnsi"/>
          <w:color w:val="000000"/>
        </w:rPr>
        <w:t>$12,000 (individual) and $24,000 (married filing jointly) standard deduction; and</w:t>
      </w:r>
    </w:p>
    <w:p w:rsidR="004D1F98" w:rsidRPr="003909AE" w:rsidRDefault="004D1F98" w:rsidP="00E052E6">
      <w:pPr>
        <w:widowControl w:val="0"/>
        <w:numPr>
          <w:ilvl w:val="0"/>
          <w:numId w:val="1"/>
        </w:numPr>
        <w:tabs>
          <w:tab w:val="left" w:pos="850"/>
        </w:tabs>
        <w:autoSpaceDE w:val="0"/>
        <w:autoSpaceDN w:val="0"/>
        <w:adjustRightInd w:val="0"/>
        <w:spacing w:after="0" w:line="240" w:lineRule="auto"/>
        <w:rPr>
          <w:rFonts w:cstheme="minorHAnsi"/>
        </w:rPr>
      </w:pPr>
      <w:proofErr w:type="gramStart"/>
      <w:r w:rsidRPr="003909AE">
        <w:rPr>
          <w:rFonts w:cstheme="minorHAnsi"/>
          <w:color w:val="000000"/>
        </w:rPr>
        <w:t>the</w:t>
      </w:r>
      <w:proofErr w:type="gramEnd"/>
      <w:r w:rsidRPr="003909AE">
        <w:rPr>
          <w:rFonts w:cstheme="minorHAnsi"/>
          <w:color w:val="000000"/>
        </w:rPr>
        <w:t xml:space="preserve"> $10,000 annual cap on the state and local tax (SALT) deduction.</w:t>
      </w:r>
    </w:p>
    <w:p w:rsidR="004D1F98" w:rsidRPr="003909AE" w:rsidRDefault="004D1F98">
      <w:pPr>
        <w:widowControl w:val="0"/>
        <w:autoSpaceDE w:val="0"/>
        <w:autoSpaceDN w:val="0"/>
        <w:adjustRightInd w:val="0"/>
        <w:spacing w:before="170" w:after="0" w:line="240" w:lineRule="auto"/>
        <w:rPr>
          <w:rFonts w:cstheme="minorHAnsi"/>
          <w:sz w:val="24"/>
          <w:szCs w:val="24"/>
        </w:rPr>
      </w:pPr>
      <w:r w:rsidRPr="003909AE">
        <w:rPr>
          <w:rFonts w:cstheme="minorHAnsi"/>
          <w:b/>
          <w:bCs/>
          <w:color w:val="000000"/>
          <w:sz w:val="24"/>
          <w:szCs w:val="24"/>
        </w:rPr>
        <w:t>Family Savings and Business Innovation</w:t>
      </w:r>
      <w:r w:rsidR="003909AE">
        <w:rPr>
          <w:rFonts w:cstheme="minorHAnsi"/>
          <w:sz w:val="24"/>
          <w:szCs w:val="24"/>
        </w:rPr>
        <w:br/>
      </w:r>
      <w:r w:rsidRPr="003909AE">
        <w:rPr>
          <w:rFonts w:cstheme="minorHAnsi"/>
          <w:color w:val="000000"/>
        </w:rPr>
        <w:t xml:space="preserve">HR 6757 aims to simplify certain rules for employer retirement plans and eliminates the age limit on IRA contributions, among other things. Additionally, it would create a Universal Savings Account (USA), while also </w:t>
      </w:r>
      <w:proofErr w:type="gramStart"/>
      <w:r w:rsidRPr="003909AE">
        <w:rPr>
          <w:rFonts w:cstheme="minorHAnsi"/>
          <w:color w:val="000000"/>
        </w:rPr>
        <w:t>allowing</w:t>
      </w:r>
      <w:proofErr w:type="gramEnd"/>
      <w:r w:rsidRPr="003909AE">
        <w:rPr>
          <w:rFonts w:cstheme="minorHAnsi"/>
          <w:color w:val="000000"/>
        </w:rPr>
        <w:t xml:space="preserve"> tax-advantaged Code Sec. 529 Plans to be used for expenses related to trade schools, home schooling, and up to $10,000 in total distributions for repayment of student loans.</w:t>
      </w:r>
    </w:p>
    <w:p w:rsidR="004D1F98" w:rsidRPr="003909AE" w:rsidRDefault="004D1F98">
      <w:pPr>
        <w:widowControl w:val="0"/>
        <w:autoSpaceDE w:val="0"/>
        <w:autoSpaceDN w:val="0"/>
        <w:adjustRightInd w:val="0"/>
        <w:spacing w:before="85" w:after="0" w:line="240" w:lineRule="auto"/>
        <w:rPr>
          <w:rFonts w:cstheme="minorHAnsi"/>
        </w:rPr>
      </w:pPr>
      <w:r w:rsidRPr="003909AE">
        <w:rPr>
          <w:rFonts w:cstheme="minorHAnsi"/>
          <w:color w:val="000000"/>
        </w:rPr>
        <w:t>HR 6756 would improve the tax treatment of certain start-up businesses. The bill would allow new businesses to write off up to $20,000 of start-up and organization expenditures. Additionally, HR 6756 would allow for a change in start-up ownership without triggering limits on certain tax benefits.</w:t>
      </w:r>
    </w:p>
    <w:p w:rsidR="004D1F98" w:rsidRPr="003909AE" w:rsidRDefault="004D1F98">
      <w:pPr>
        <w:widowControl w:val="0"/>
        <w:autoSpaceDE w:val="0"/>
        <w:autoSpaceDN w:val="0"/>
        <w:adjustRightInd w:val="0"/>
        <w:spacing w:before="170" w:after="0" w:line="240" w:lineRule="auto"/>
        <w:rPr>
          <w:rFonts w:cstheme="minorHAnsi"/>
          <w:sz w:val="24"/>
          <w:szCs w:val="24"/>
        </w:rPr>
      </w:pPr>
      <w:r w:rsidRPr="003909AE">
        <w:rPr>
          <w:rFonts w:cstheme="minorHAnsi"/>
          <w:b/>
          <w:bCs/>
          <w:color w:val="000000"/>
          <w:sz w:val="24"/>
          <w:szCs w:val="24"/>
        </w:rPr>
        <w:t>JCT</w:t>
      </w:r>
      <w:r w:rsidR="003909AE">
        <w:rPr>
          <w:rFonts w:cstheme="minorHAnsi"/>
          <w:sz w:val="24"/>
          <w:szCs w:val="24"/>
        </w:rPr>
        <w:br/>
      </w:r>
      <w:r w:rsidRPr="003909AE">
        <w:rPr>
          <w:rFonts w:cstheme="minorHAnsi"/>
          <w:color w:val="000000"/>
        </w:rPr>
        <w:t xml:space="preserve">The Joint Committee on Taxation (JCT), a nonpartisan congressional scorekeeper, has estimated that all three bills will cost the federal government revenue. As noted in </w:t>
      </w:r>
      <w:hyperlink r:id="rId13" w:history="1">
        <w:r w:rsidRPr="003909AE">
          <w:rPr>
            <w:rFonts w:cstheme="minorHAnsi"/>
            <w:color w:val="0000FF"/>
            <w:u w:val="single" w:color="0000FF"/>
          </w:rPr>
          <w:t>JCX-71-18</w:t>
        </w:r>
      </w:hyperlink>
      <w:r w:rsidRPr="003909AE">
        <w:rPr>
          <w:rFonts w:cstheme="minorHAnsi"/>
          <w:color w:val="000000"/>
        </w:rPr>
        <w:t>, the JCT estimates that making permanent the individual and small business tax cuts under the TCJA, as proposed by HR 6760, would cost the federal government $631 billion in lost revenue over the next ten years. Additionally, the JCT has estimated that HR 6756 and HR 6757, collectively, would cost approximately $26 billion in lost federal revenue over the next 10 years, (</w:t>
      </w:r>
      <w:hyperlink r:id="rId14" w:history="1">
        <w:r w:rsidRPr="003909AE">
          <w:rPr>
            <w:rFonts w:cstheme="minorHAnsi"/>
            <w:color w:val="0000FF"/>
            <w:u w:val="single" w:color="0000FF"/>
          </w:rPr>
          <w:t>JCX-75-18</w:t>
        </w:r>
      </w:hyperlink>
      <w:r w:rsidRPr="003909AE">
        <w:rPr>
          <w:rFonts w:cstheme="minorHAnsi"/>
          <w:color w:val="000000"/>
        </w:rPr>
        <w:t xml:space="preserve">, </w:t>
      </w:r>
      <w:hyperlink r:id="rId15" w:history="1">
        <w:r w:rsidRPr="003909AE">
          <w:rPr>
            <w:rFonts w:cstheme="minorHAnsi"/>
            <w:color w:val="0000FF"/>
            <w:u w:val="single" w:color="0000FF"/>
          </w:rPr>
          <w:t>JCX-78-18</w:t>
        </w:r>
      </w:hyperlink>
      <w:r w:rsidRPr="003909AE">
        <w:rPr>
          <w:rFonts w:cstheme="minorHAnsi"/>
          <w:color w:val="000000"/>
        </w:rPr>
        <w:t>).</w:t>
      </w:r>
    </w:p>
    <w:p w:rsidR="004D1F98" w:rsidRPr="003909AE" w:rsidRDefault="00ED04AC" w:rsidP="003909AE">
      <w:pPr>
        <w:widowControl w:val="0"/>
        <w:autoSpaceDE w:val="0"/>
        <w:autoSpaceDN w:val="0"/>
        <w:adjustRightInd w:val="0"/>
        <w:spacing w:before="170" w:after="0" w:line="240" w:lineRule="auto"/>
        <w:rPr>
          <w:rFonts w:cstheme="minorHAnsi"/>
          <w:sz w:val="24"/>
          <w:szCs w:val="24"/>
        </w:rPr>
      </w:pPr>
      <w:r>
        <w:rPr>
          <w:rFonts w:cstheme="minorHAnsi"/>
          <w:b/>
          <w:b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3893820</wp:posOffset>
                </wp:positionH>
                <wp:positionV relativeFrom="paragraph">
                  <wp:posOffset>1248410</wp:posOffset>
                </wp:positionV>
                <wp:extent cx="2423160" cy="3200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9AE" w:rsidRPr="003909AE" w:rsidRDefault="003909AE" w:rsidP="003909AE">
                            <w:pPr>
                              <w:widowControl w:val="0"/>
                              <w:autoSpaceDE w:val="0"/>
                              <w:autoSpaceDN w:val="0"/>
                              <w:adjustRightInd w:val="0"/>
                              <w:spacing w:before="85" w:after="0" w:line="240" w:lineRule="auto"/>
                              <w:jc w:val="right"/>
                              <w:rPr>
                                <w:rFonts w:cs="Calibri"/>
                              </w:rPr>
                            </w:pPr>
                            <w:r w:rsidRPr="003909AE">
                              <w:rPr>
                                <w:rFonts w:cs="Calibri"/>
                                <w:color w:val="000000"/>
                              </w:rPr>
                              <w:t xml:space="preserve">By Jessica </w:t>
                            </w:r>
                            <w:proofErr w:type="spellStart"/>
                            <w:r w:rsidRPr="003909AE">
                              <w:rPr>
                                <w:rFonts w:cs="Calibri"/>
                                <w:color w:val="000000"/>
                              </w:rPr>
                              <w:t>Jeane</w:t>
                            </w:r>
                            <w:proofErr w:type="spellEnd"/>
                            <w:r w:rsidRPr="003909AE">
                              <w:rPr>
                                <w:rFonts w:cs="Calibri"/>
                                <w:color w:val="000000"/>
                              </w:rPr>
                              <w:t>, Senior News Editor</w:t>
                            </w:r>
                          </w:p>
                          <w:p w:rsidR="003909AE" w:rsidRDefault="00390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6.6pt;margin-top:98.3pt;width:190.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IRhgIAABY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" stroked="f">
                <v:textbox>
                  <w:txbxContent>
                    <w:p w:rsidR="003909AE" w:rsidRPr="003909AE" w:rsidRDefault="003909AE" w:rsidP="003909AE">
                      <w:pPr>
                        <w:widowControl w:val="0"/>
                        <w:autoSpaceDE w:val="0"/>
                        <w:autoSpaceDN w:val="0"/>
                        <w:adjustRightInd w:val="0"/>
                        <w:spacing w:before="85" w:after="0" w:line="240" w:lineRule="auto"/>
                        <w:jc w:val="right"/>
                        <w:rPr>
                          <w:rFonts w:cs="Calibri"/>
                        </w:rPr>
                      </w:pPr>
                      <w:r w:rsidRPr="003909AE">
                        <w:rPr>
                          <w:rFonts w:cs="Calibri"/>
                          <w:color w:val="000000"/>
                        </w:rPr>
                        <w:t xml:space="preserve">By Jessica </w:t>
                      </w:r>
                      <w:proofErr w:type="spellStart"/>
                      <w:r w:rsidRPr="003909AE">
                        <w:rPr>
                          <w:rFonts w:cs="Calibri"/>
                          <w:color w:val="000000"/>
                        </w:rPr>
                        <w:t>Jeane</w:t>
                      </w:r>
                      <w:proofErr w:type="spellEnd"/>
                      <w:r w:rsidRPr="003909AE">
                        <w:rPr>
                          <w:rFonts w:cs="Calibri"/>
                          <w:color w:val="000000"/>
                        </w:rPr>
                        <w:t>, Senior News Editor</w:t>
                      </w:r>
                    </w:p>
                    <w:p w:rsidR="003909AE" w:rsidRDefault="003909AE"/>
                  </w:txbxContent>
                </v:textbox>
              </v:shape>
            </w:pict>
          </mc:Fallback>
        </mc:AlternateContent>
      </w:r>
      <w:r w:rsidR="004D1F98" w:rsidRPr="003909AE">
        <w:rPr>
          <w:rFonts w:cstheme="minorHAnsi"/>
          <w:b/>
          <w:bCs/>
          <w:color w:val="000000"/>
          <w:sz w:val="24"/>
          <w:szCs w:val="24"/>
        </w:rPr>
        <w:t>Tax Reform 2.0’s Fate Uncertain</w:t>
      </w:r>
      <w:bookmarkStart w:id="1" w:name="_GoBack"/>
      <w:bookmarkEnd w:id="1"/>
      <w:r w:rsidR="003909AE">
        <w:rPr>
          <w:rFonts w:cstheme="minorHAnsi"/>
          <w:sz w:val="24"/>
          <w:szCs w:val="24"/>
        </w:rPr>
        <w:br/>
      </w:r>
      <w:r w:rsidR="004D1F98" w:rsidRPr="003909AE">
        <w:rPr>
          <w:rFonts w:cstheme="minorHAnsi"/>
          <w:color w:val="000000"/>
        </w:rPr>
        <w:t>Tax Reform 2.0’s fate remains largely uncertain as it makes its way through the legislative process. While the measure is expected to garner enough Republican support in the House, despite certain GOP criticisms of the SALT deduction Cap, (</w:t>
      </w:r>
      <w:hyperlink r:id="rId16" w:history="1">
        <w:r w:rsidR="004D1F98" w:rsidRPr="003909AE">
          <w:rPr>
            <w:rFonts w:cstheme="minorHAnsi"/>
            <w:color w:val="0000FF"/>
            <w:u w:val="single" w:color="0000FF"/>
          </w:rPr>
          <w:t>TAXDAY, 2018/09/06, C.1</w:t>
        </w:r>
      </w:hyperlink>
      <w:r w:rsidR="004D1F98" w:rsidRPr="003909AE">
        <w:rPr>
          <w:rFonts w:cstheme="minorHAnsi"/>
          <w:color w:val="000000"/>
        </w:rPr>
        <w:t>), it is not expected as a whole to fare well in the Senate. There is talk on Capitol Hill that Democrats could potentially support the retirement savings and business innovation bills in some form. However, it is considered unlikely that Democrats will support making permanent certain provisions of a law (the TCJA) for which not a single Democrat voted.</w:t>
      </w:r>
    </w:p>
    <w:sectPr w:rsidR="004D1F98" w:rsidRPr="003909AE" w:rsidSect="00E052E6">
      <w:headerReference w:type="even" r:id="rId17"/>
      <w:headerReference w:type="default" r:id="rId18"/>
      <w:footerReference w:type="even" r:id="rId19"/>
      <w:footerReference w:type="default" r:id="rId20"/>
      <w:pgSz w:w="12240" w:h="15840"/>
      <w:pgMar w:top="1080" w:right="1080" w:bottom="1080" w:left="1080" w:header="567"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658" w:rsidRDefault="00A53658">
      <w:pPr>
        <w:spacing w:after="0" w:line="240" w:lineRule="auto"/>
      </w:pPr>
      <w:r>
        <w:separator/>
      </w:r>
    </w:p>
  </w:endnote>
  <w:endnote w:type="continuationSeparator" w:id="0">
    <w:p w:rsidR="00A53658" w:rsidRDefault="00A5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Pro">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98" w:rsidRDefault="004D1F98">
    <w:pPr>
      <w:widowControl w:val="0"/>
      <w:autoSpaceDE w:val="0"/>
      <w:autoSpaceDN w:val="0"/>
      <w:adjustRightInd w:val="0"/>
      <w:spacing w:before="113" w:after="0" w:line="240" w:lineRule="auto"/>
      <w:rPr>
        <w:rFonts w:ascii="Times" w:hAnsi="Times" w:cs="Times"/>
        <w:sz w:val="24"/>
        <w:szCs w:val="24"/>
      </w:rPr>
    </w:pPr>
    <w:r>
      <w:rPr>
        <w:rFonts w:ascii="Times" w:hAnsi="Times" w:cs="Times"/>
        <w:b/>
        <w:bCs/>
        <w:i/>
        <w:iCs/>
        <w:color w:val="000000"/>
        <w:sz w:val="20"/>
        <w:szCs w:val="20"/>
      </w:rPr>
      <w:t>©2018 CCH Incorporated and its affiliates and licensors. All rights reserved.</w:t>
    </w:r>
  </w:p>
  <w:p w:rsidR="004D1F98" w:rsidRDefault="004D1F98">
    <w:pPr>
      <w:widowControl w:val="0"/>
      <w:autoSpaceDE w:val="0"/>
      <w:autoSpaceDN w:val="0"/>
      <w:adjustRightInd w:val="0"/>
      <w:spacing w:after="0" w:line="240" w:lineRule="auto"/>
      <w:rPr>
        <w:rFonts w:ascii="Times" w:hAnsi="Times" w:cs="Times"/>
        <w:sz w:val="24"/>
        <w:szCs w:val="24"/>
      </w:rPr>
    </w:pPr>
    <w:r>
      <w:rPr>
        <w:rFonts w:ascii="Times" w:hAnsi="Times" w:cs="Times"/>
        <w:b/>
        <w:bCs/>
        <w:i/>
        <w:iCs/>
        <w:color w:val="000000"/>
        <w:sz w:val="20"/>
        <w:szCs w:val="20"/>
      </w:rPr>
      <w:t>Subject to Terms &amp; Conditions: </w:t>
    </w:r>
    <w:hyperlink r:id="rId1" w:history="1">
      <w:r>
        <w:rPr>
          <w:rFonts w:ascii="Times" w:hAnsi="Times" w:cs="Times"/>
          <w:b/>
          <w:bCs/>
          <w:i/>
          <w:iCs/>
          <w:color w:val="0000FF"/>
          <w:sz w:val="20"/>
          <w:szCs w:val="20"/>
          <w:u w:val="single" w:color="0000FF"/>
        </w:rPr>
        <w:t>http://researchhelp.cch.com/License_Agreement.htm</w:t>
      </w:r>
    </w:hyperlink>
  </w:p>
  <w:p w:rsidR="004D1F98" w:rsidRDefault="004D1F98">
    <w:pPr>
      <w:widowControl w:val="0"/>
      <w:autoSpaceDE w:val="0"/>
      <w:autoSpaceDN w:val="0"/>
      <w:adjustRightInd w:val="0"/>
      <w:spacing w:after="0" w:line="240" w:lineRule="auto"/>
      <w:jc w:val="center"/>
      <w:rPr>
        <w:rFonts w:ascii="Times" w:hAnsi="Times" w:cs="Times"/>
        <w:sz w:val="24"/>
        <w:szCs w:val="24"/>
      </w:rPr>
    </w:pPr>
    <w:r>
      <w:rPr>
        <w:rFonts w:ascii="Times" w:hAnsi="Times" w:cs="Times"/>
        <w:b/>
        <w:bCs/>
        <w:i/>
        <w:iCs/>
        <w:color w:val="000000"/>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98" w:rsidRPr="003909AE" w:rsidRDefault="004D1F98">
    <w:pPr>
      <w:widowControl w:val="0"/>
      <w:autoSpaceDE w:val="0"/>
      <w:autoSpaceDN w:val="0"/>
      <w:adjustRightInd w:val="0"/>
      <w:spacing w:before="113" w:after="0" w:line="240" w:lineRule="auto"/>
      <w:rPr>
        <w:rFonts w:ascii="Arial Narrow" w:hAnsi="Arial Narrow" w:cs="Times"/>
        <w:sz w:val="16"/>
        <w:szCs w:val="16"/>
      </w:rPr>
    </w:pPr>
    <w:r w:rsidRPr="003909AE">
      <w:rPr>
        <w:rFonts w:ascii="Arial Narrow" w:hAnsi="Arial Narrow" w:cs="Times"/>
        <w:b/>
        <w:bCs/>
        <w:i/>
        <w:iCs/>
        <w:color w:val="000000"/>
        <w:sz w:val="16"/>
        <w:szCs w:val="16"/>
      </w:rPr>
      <w:t>©2018 CCH Incorporated and its affiliates and licensors. All rights reserved.</w:t>
    </w:r>
  </w:p>
  <w:p w:rsidR="004D1F98" w:rsidRPr="003909AE" w:rsidRDefault="004D1F98">
    <w:pPr>
      <w:widowControl w:val="0"/>
      <w:autoSpaceDE w:val="0"/>
      <w:autoSpaceDN w:val="0"/>
      <w:adjustRightInd w:val="0"/>
      <w:spacing w:after="0" w:line="240" w:lineRule="auto"/>
      <w:rPr>
        <w:rFonts w:ascii="Arial Narrow" w:hAnsi="Arial Narrow" w:cs="Times"/>
        <w:sz w:val="16"/>
        <w:szCs w:val="16"/>
      </w:rPr>
    </w:pPr>
    <w:r w:rsidRPr="003909AE">
      <w:rPr>
        <w:rFonts w:ascii="Arial Narrow" w:hAnsi="Arial Narrow" w:cs="Times"/>
        <w:b/>
        <w:bCs/>
        <w:i/>
        <w:iCs/>
        <w:color w:val="000000"/>
        <w:sz w:val="16"/>
        <w:szCs w:val="16"/>
      </w:rPr>
      <w:t>Subject to Terms &amp; Conditions: </w:t>
    </w:r>
    <w:hyperlink r:id="rId1" w:history="1">
      <w:r w:rsidRPr="003909AE">
        <w:rPr>
          <w:rFonts w:ascii="Arial Narrow" w:hAnsi="Arial Narrow" w:cs="Times"/>
          <w:b/>
          <w:bCs/>
          <w:i/>
          <w:iCs/>
          <w:color w:val="0000FF"/>
          <w:sz w:val="16"/>
          <w:szCs w:val="16"/>
          <w:u w:val="single" w:color="0000FF"/>
        </w:rPr>
        <w:t>http://researchhelp.cch.com/License_Agreement.htm</w:t>
      </w:r>
    </w:hyperlink>
  </w:p>
  <w:p w:rsidR="004D1F98" w:rsidRPr="003909AE" w:rsidRDefault="004D1F98">
    <w:pPr>
      <w:widowControl w:val="0"/>
      <w:autoSpaceDE w:val="0"/>
      <w:autoSpaceDN w:val="0"/>
      <w:adjustRightInd w:val="0"/>
      <w:spacing w:after="0" w:line="240" w:lineRule="auto"/>
      <w:jc w:val="center"/>
      <w:rPr>
        <w:rFonts w:ascii="Arial Narrow" w:hAnsi="Arial Narrow" w:cs="Times"/>
        <w:sz w:val="16"/>
        <w:szCs w:val="16"/>
      </w:rPr>
    </w:pPr>
    <w:r w:rsidRPr="003909AE">
      <w:rPr>
        <w:rFonts w:ascii="Arial Narrow" w:hAnsi="Arial Narrow" w:cs="Times"/>
        <w:b/>
        <w:bCs/>
        <w:i/>
        <w:iCs/>
        <w:color w:val="000000"/>
        <w:sz w:val="16"/>
        <w:szCs w:val="16"/>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658" w:rsidRDefault="00A53658">
      <w:pPr>
        <w:spacing w:after="0" w:line="240" w:lineRule="auto"/>
      </w:pPr>
      <w:r>
        <w:separator/>
      </w:r>
    </w:p>
  </w:footnote>
  <w:footnote w:type="continuationSeparator" w:id="0">
    <w:p w:rsidR="00A53658" w:rsidRDefault="00A53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98" w:rsidRDefault="004D1F98">
    <w:pPr>
      <w:widowControl w:val="0"/>
      <w:autoSpaceDE w:val="0"/>
      <w:autoSpaceDN w:val="0"/>
      <w:adjustRightInd w:val="0"/>
      <w:spacing w:after="0" w:line="240" w:lineRule="auto"/>
      <w:rPr>
        <w:rFonts w:ascii="Times" w:hAnsi="Times" w:cs="Time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98" w:rsidRDefault="004D1F98">
    <w:pPr>
      <w:widowControl w:val="0"/>
      <w:autoSpaceDE w:val="0"/>
      <w:autoSpaceDN w:val="0"/>
      <w:adjustRightInd w:val="0"/>
      <w:spacing w:after="0" w:line="240" w:lineRule="auto"/>
      <w:rPr>
        <w:rFonts w:ascii="Times" w:hAnsi="Times" w:cs="Time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F012A"/>
    <w:multiLevelType w:val="hybridMultilevel"/>
    <w:tmpl w:val="88B2B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E6"/>
    <w:rsid w:val="00225927"/>
    <w:rsid w:val="003909AE"/>
    <w:rsid w:val="004D1F98"/>
    <w:rsid w:val="00A53658"/>
    <w:rsid w:val="00AB4000"/>
    <w:rsid w:val="00E052E6"/>
    <w:rsid w:val="00ED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7D3562C-5167-41EA-879A-95D34277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9AE"/>
    <w:pPr>
      <w:tabs>
        <w:tab w:val="center" w:pos="4680"/>
        <w:tab w:val="right" w:pos="9360"/>
      </w:tabs>
    </w:pPr>
  </w:style>
  <w:style w:type="character" w:customStyle="1" w:styleId="HeaderChar">
    <w:name w:val="Header Char"/>
    <w:basedOn w:val="DefaultParagraphFont"/>
    <w:link w:val="Header"/>
    <w:uiPriority w:val="99"/>
    <w:rsid w:val="003909AE"/>
  </w:style>
  <w:style w:type="paragraph" w:styleId="Footer">
    <w:name w:val="footer"/>
    <w:basedOn w:val="Normal"/>
    <w:link w:val="FooterChar"/>
    <w:uiPriority w:val="99"/>
    <w:unhideWhenUsed/>
    <w:rsid w:val="003909AE"/>
    <w:pPr>
      <w:tabs>
        <w:tab w:val="center" w:pos="4680"/>
        <w:tab w:val="right" w:pos="9360"/>
      </w:tabs>
    </w:pPr>
  </w:style>
  <w:style w:type="character" w:customStyle="1" w:styleId="FooterChar">
    <w:name w:val="Footer Char"/>
    <w:basedOn w:val="DefaultParagraphFont"/>
    <w:link w:val="Footer"/>
    <w:uiPriority w:val="99"/>
    <w:rsid w:val="00390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prod.resource.cch.com/resource/scion/citation/pit/JCX-71-18/CONGLINK?cfu=TAA&amp;cpid=WKUS-TAA-IC&amp;uAppCtx=RW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prod.resource.cch.com/resource/scion/citation/pit/PL115-97/CONGLINK?cfu=TAA&amp;cpid=WKUS-TAA-IC&amp;uAppCtx=RW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rod.resource.cch.com/resource/scion/citation/pit/20180906-C.1/2006TAX-FTD?cfu=TAA&amp;cpid=WKUS-TAA-IC&amp;uAppCtx=RW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d.resource.cch.com/resource/scion/citation/pit/HR6756/CONGLINK?cfu=TAA&amp;cpid=WKUS-TAA-IC&amp;uAppCtx=RWI" TargetMode="External"/><Relationship Id="rId5" Type="http://schemas.openxmlformats.org/officeDocument/2006/relationships/footnotes" Target="footnotes.xml"/><Relationship Id="rId15" Type="http://schemas.openxmlformats.org/officeDocument/2006/relationships/hyperlink" Target="http://prod.resource.cch.com/resource/scion/citation/pit/JCX-78-18/CONGLINK?cfu=TAA&amp;cpid=WKUS-TAA-IC&amp;uAppCtx=RWI" TargetMode="External"/><Relationship Id="rId10" Type="http://schemas.openxmlformats.org/officeDocument/2006/relationships/hyperlink" Target="http://prod.resource.cch.com/resource/scion/citation/pit/HR6757/CONGLINK?cfu=TAA&amp;cpid=WKUS-TAA-IC&amp;uAppCtx=RW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d.resource.cch.com/resource/scion/citation/pit/HR6760/CONGLINK?cfu=TAA&amp;cpid=WKUS-TAA-IC&amp;uAppCtx=RWI" TargetMode="External"/><Relationship Id="rId14" Type="http://schemas.openxmlformats.org/officeDocument/2006/relationships/hyperlink" Target="http://prod.resource.cch.com/resource/scion/citation/pit/JCX-75-18/CONGLINK?cfu=TAA&amp;cpid=WKUS-TAA-IC&amp;uAppCtx=RW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researchhelp.cch.com/License_Agreement.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researchhelp.cch.com/License_Agre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Erickson</dc:creator>
  <cp:keywords/>
  <dc:description/>
  <cp:lastModifiedBy>Eileen Erickson</cp:lastModifiedBy>
  <cp:revision>3</cp:revision>
  <cp:lastPrinted>2018-09-14T18:47:00Z</cp:lastPrinted>
  <dcterms:created xsi:type="dcterms:W3CDTF">2018-09-14T18:48:00Z</dcterms:created>
  <dcterms:modified xsi:type="dcterms:W3CDTF">2018-09-17T04:10:00Z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