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D1" w:rsidRDefault="00E93809" w:rsidP="00CC43D1">
      <w:pPr>
        <w:tabs>
          <w:tab w:val="left" w:pos="1440"/>
          <w:tab w:val="left" w:pos="3060"/>
          <w:tab w:val="left" w:pos="3240"/>
        </w:tabs>
        <w:rPr>
          <w:b/>
        </w:rPr>
      </w:pPr>
      <w:r>
        <w:rPr>
          <w:b/>
          <w:noProof/>
        </w:rPr>
        <w:drawing>
          <wp:inline distT="0" distB="0" distL="0" distR="0">
            <wp:extent cx="2009775" cy="752475"/>
            <wp:effectExtent l="19050" t="0" r="9525" b="0"/>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6"/>
                    <a:srcRect/>
                    <a:stretch>
                      <a:fillRect/>
                    </a:stretch>
                  </pic:blipFill>
                  <pic:spPr bwMode="auto">
                    <a:xfrm>
                      <a:off x="0" y="0"/>
                      <a:ext cx="2009775" cy="752475"/>
                    </a:xfrm>
                    <a:prstGeom prst="rect">
                      <a:avLst/>
                    </a:prstGeom>
                    <a:noFill/>
                    <a:ln w="9525">
                      <a:noFill/>
                      <a:miter lim="800000"/>
                      <a:headEnd/>
                      <a:tailEnd/>
                    </a:ln>
                  </pic:spPr>
                </pic:pic>
              </a:graphicData>
            </a:graphic>
          </wp:inline>
        </w:drawing>
      </w:r>
    </w:p>
    <w:p w:rsidR="00CC43D1" w:rsidRDefault="00CC43D1" w:rsidP="00CC43D1">
      <w:pPr>
        <w:tabs>
          <w:tab w:val="left" w:pos="1440"/>
          <w:tab w:val="left" w:pos="3060"/>
          <w:tab w:val="left" w:pos="3240"/>
        </w:tabs>
        <w:rPr>
          <w:sz w:val="22"/>
        </w:rPr>
      </w:pPr>
    </w:p>
    <w:p w:rsidR="00CC43D1" w:rsidRPr="00B911A2" w:rsidRDefault="00CC43D1" w:rsidP="00CC43D1">
      <w:pPr>
        <w:tabs>
          <w:tab w:val="left" w:pos="1440"/>
          <w:tab w:val="left" w:pos="3060"/>
          <w:tab w:val="left" w:pos="3240"/>
        </w:tabs>
        <w:rPr>
          <w:rFonts w:ascii="Arial" w:hAnsi="Arial" w:cs="Arial"/>
          <w:sz w:val="22"/>
        </w:rPr>
      </w:pPr>
      <w:r w:rsidRPr="00B911A2">
        <w:rPr>
          <w:rFonts w:ascii="Arial" w:hAnsi="Arial" w:cs="Arial"/>
          <w:sz w:val="22"/>
        </w:rPr>
        <w:t>FOR IMMEDIATE RELEASE</w:t>
      </w:r>
    </w:p>
    <w:p w:rsidR="00CC43D1" w:rsidRPr="00B911A2" w:rsidRDefault="00CC43D1" w:rsidP="00CC43D1">
      <w:pPr>
        <w:tabs>
          <w:tab w:val="left" w:pos="1440"/>
          <w:tab w:val="left" w:pos="3060"/>
          <w:tab w:val="left" w:pos="3240"/>
        </w:tabs>
        <w:rPr>
          <w:rFonts w:ascii="Arial" w:hAnsi="Arial" w:cs="Arial"/>
          <w:sz w:val="22"/>
        </w:rPr>
      </w:pPr>
    </w:p>
    <w:p w:rsidR="00991B04" w:rsidRPr="000F4A8D" w:rsidRDefault="00991B04" w:rsidP="00991B04">
      <w:pPr>
        <w:tabs>
          <w:tab w:val="left" w:pos="990"/>
        </w:tabs>
        <w:rPr>
          <w:rFonts w:ascii="Arial" w:hAnsi="Arial" w:cs="Arial"/>
          <w:sz w:val="22"/>
        </w:rPr>
      </w:pPr>
      <w:r w:rsidRPr="000F4A8D">
        <w:rPr>
          <w:rFonts w:ascii="Arial" w:hAnsi="Arial" w:cs="Arial"/>
          <w:sz w:val="22"/>
        </w:rPr>
        <w:t>Contact:</w:t>
      </w:r>
      <w:r w:rsidRPr="000F4A8D">
        <w:rPr>
          <w:rFonts w:ascii="Arial" w:hAnsi="Arial" w:cs="Arial"/>
          <w:sz w:val="22"/>
        </w:rPr>
        <w:tab/>
      </w:r>
      <w:r w:rsidR="000F4A8D" w:rsidRPr="000F4A8D">
        <w:rPr>
          <w:rFonts w:ascii="Arial" w:hAnsi="Arial" w:cs="Arial"/>
          <w:sz w:val="22"/>
        </w:rPr>
        <w:t>Al Rickard</w:t>
      </w:r>
    </w:p>
    <w:p w:rsidR="000F4A8D" w:rsidRPr="000F4A8D" w:rsidRDefault="000F4A8D" w:rsidP="00991B04">
      <w:pPr>
        <w:tabs>
          <w:tab w:val="left" w:pos="990"/>
        </w:tabs>
        <w:rPr>
          <w:rFonts w:ascii="Arial" w:hAnsi="Arial" w:cs="Arial"/>
          <w:sz w:val="22"/>
        </w:rPr>
      </w:pPr>
      <w:r w:rsidRPr="000F4A8D">
        <w:rPr>
          <w:rFonts w:ascii="Arial" w:hAnsi="Arial" w:cs="Arial"/>
          <w:sz w:val="22"/>
        </w:rPr>
        <w:tab/>
        <w:t>703-402-9713</w:t>
      </w:r>
    </w:p>
    <w:p w:rsidR="00991B04" w:rsidRPr="000229F3" w:rsidRDefault="000F4A8D" w:rsidP="000229F3">
      <w:pPr>
        <w:tabs>
          <w:tab w:val="left" w:pos="990"/>
        </w:tabs>
        <w:rPr>
          <w:rFonts w:ascii="Arial" w:hAnsi="Arial" w:cs="Arial"/>
          <w:sz w:val="22"/>
        </w:rPr>
      </w:pPr>
      <w:r w:rsidRPr="000F4A8D">
        <w:rPr>
          <w:rFonts w:ascii="Arial" w:hAnsi="Arial" w:cs="Arial"/>
          <w:sz w:val="22"/>
        </w:rPr>
        <w:tab/>
        <w:t>arickard@associationvision.com</w:t>
      </w:r>
    </w:p>
    <w:p w:rsidR="006C4DED" w:rsidRDefault="006C4DED" w:rsidP="007204D0">
      <w:pPr>
        <w:jc w:val="center"/>
        <w:rPr>
          <w:rFonts w:ascii="Arial" w:hAnsi="Arial" w:cs="Arial"/>
          <w:b/>
          <w:sz w:val="44"/>
          <w:szCs w:val="44"/>
        </w:rPr>
      </w:pPr>
    </w:p>
    <w:p w:rsidR="004328FF" w:rsidRPr="004328FF" w:rsidRDefault="00192B51" w:rsidP="007204D0">
      <w:pPr>
        <w:jc w:val="center"/>
        <w:rPr>
          <w:rFonts w:ascii="Arial" w:hAnsi="Arial" w:cs="Arial"/>
          <w:b/>
          <w:sz w:val="44"/>
          <w:szCs w:val="44"/>
        </w:rPr>
      </w:pPr>
      <w:r w:rsidRPr="004328FF">
        <w:rPr>
          <w:rFonts w:ascii="Arial" w:hAnsi="Arial" w:cs="Arial"/>
          <w:b/>
          <w:sz w:val="44"/>
          <w:szCs w:val="44"/>
        </w:rPr>
        <w:t xml:space="preserve">Year-End Tax </w:t>
      </w:r>
      <w:r w:rsidR="000B0D83" w:rsidRPr="004328FF">
        <w:rPr>
          <w:rFonts w:ascii="Arial" w:hAnsi="Arial" w:cs="Arial"/>
          <w:b/>
          <w:sz w:val="44"/>
          <w:szCs w:val="44"/>
        </w:rPr>
        <w:t>Tips</w:t>
      </w:r>
      <w:r w:rsidR="007204D0" w:rsidRPr="004328FF">
        <w:rPr>
          <w:rFonts w:ascii="Arial" w:hAnsi="Arial" w:cs="Arial"/>
          <w:b/>
          <w:sz w:val="44"/>
          <w:szCs w:val="44"/>
        </w:rPr>
        <w:t xml:space="preserve"> </w:t>
      </w:r>
      <w:r w:rsidR="004328FF" w:rsidRPr="004328FF">
        <w:rPr>
          <w:rFonts w:ascii="Arial" w:hAnsi="Arial" w:cs="Arial"/>
          <w:b/>
          <w:sz w:val="44"/>
          <w:szCs w:val="44"/>
        </w:rPr>
        <w:t>for Individuals From</w:t>
      </w:r>
    </w:p>
    <w:p w:rsidR="000B0D83" w:rsidRPr="004328FF" w:rsidRDefault="004328FF" w:rsidP="004328FF">
      <w:pPr>
        <w:jc w:val="center"/>
        <w:rPr>
          <w:rFonts w:ascii="Arial" w:hAnsi="Arial" w:cs="Arial"/>
          <w:b/>
          <w:sz w:val="44"/>
          <w:szCs w:val="44"/>
        </w:rPr>
      </w:pPr>
      <w:r w:rsidRPr="004328FF">
        <w:rPr>
          <w:rFonts w:ascii="Arial" w:hAnsi="Arial" w:cs="Arial"/>
          <w:b/>
          <w:sz w:val="44"/>
          <w:szCs w:val="44"/>
        </w:rPr>
        <w:t>T</w:t>
      </w:r>
      <w:r w:rsidR="00FC1915" w:rsidRPr="004328FF">
        <w:rPr>
          <w:rFonts w:ascii="Arial" w:hAnsi="Arial" w:cs="Arial"/>
          <w:b/>
          <w:sz w:val="44"/>
          <w:szCs w:val="44"/>
        </w:rPr>
        <w:t>he</w:t>
      </w:r>
      <w:r w:rsidRPr="004328FF">
        <w:rPr>
          <w:rFonts w:ascii="Arial" w:hAnsi="Arial" w:cs="Arial"/>
          <w:b/>
          <w:sz w:val="44"/>
          <w:szCs w:val="44"/>
        </w:rPr>
        <w:t xml:space="preserve"> </w:t>
      </w:r>
      <w:r w:rsidR="000B0D83" w:rsidRPr="004328FF">
        <w:rPr>
          <w:rFonts w:ascii="Arial" w:hAnsi="Arial" w:cs="Arial"/>
          <w:b/>
          <w:sz w:val="44"/>
          <w:szCs w:val="44"/>
        </w:rPr>
        <w:t>National Society of Accountants</w:t>
      </w:r>
    </w:p>
    <w:p w:rsidR="00C94621" w:rsidRDefault="00C94621">
      <w:pPr>
        <w:rPr>
          <w:rFonts w:ascii="Arial" w:hAnsi="Arial" w:cs="Arial"/>
        </w:rPr>
      </w:pPr>
    </w:p>
    <w:p w:rsidR="000005AC" w:rsidRDefault="000B0D83" w:rsidP="000005AC">
      <w:pPr>
        <w:tabs>
          <w:tab w:val="left" w:pos="6660"/>
        </w:tabs>
        <w:spacing w:after="120"/>
        <w:rPr>
          <w:rFonts w:ascii="Arial" w:hAnsi="Arial" w:cs="Arial"/>
        </w:rPr>
      </w:pPr>
      <w:r w:rsidRPr="000005AC">
        <w:rPr>
          <w:rFonts w:ascii="Arial" w:hAnsi="Arial" w:cs="Arial"/>
        </w:rPr>
        <w:t>ALEXANDRIA, VA</w:t>
      </w:r>
      <w:r w:rsidR="004E3A29" w:rsidRPr="000005AC">
        <w:rPr>
          <w:rFonts w:ascii="Arial" w:hAnsi="Arial" w:cs="Arial"/>
        </w:rPr>
        <w:t xml:space="preserve">, </w:t>
      </w:r>
      <w:r w:rsidR="000005AC">
        <w:rPr>
          <w:rFonts w:ascii="Arial" w:hAnsi="Arial" w:cs="Arial"/>
        </w:rPr>
        <w:t>November --</w:t>
      </w:r>
      <w:r w:rsidR="008E51E2" w:rsidRPr="000005AC">
        <w:rPr>
          <w:rFonts w:ascii="Arial" w:hAnsi="Arial" w:cs="Arial"/>
        </w:rPr>
        <w:t>, 201</w:t>
      </w:r>
      <w:r w:rsidR="009A7160" w:rsidRPr="000005AC">
        <w:rPr>
          <w:rFonts w:ascii="Arial" w:hAnsi="Arial" w:cs="Arial"/>
        </w:rPr>
        <w:t>3</w:t>
      </w:r>
      <w:r w:rsidR="00991B04" w:rsidRPr="000005AC">
        <w:rPr>
          <w:rFonts w:ascii="Arial" w:hAnsi="Arial" w:cs="Arial"/>
        </w:rPr>
        <w:t xml:space="preserve"> </w:t>
      </w:r>
      <w:r w:rsidR="00CC43D1" w:rsidRPr="000005AC">
        <w:rPr>
          <w:rFonts w:ascii="Arial" w:hAnsi="Arial" w:cs="Arial"/>
        </w:rPr>
        <w:t xml:space="preserve">— </w:t>
      </w:r>
      <w:proofErr w:type="gramStart"/>
      <w:r w:rsidR="000005AC">
        <w:rPr>
          <w:rFonts w:ascii="Arial" w:hAnsi="Arial" w:cs="Arial"/>
        </w:rPr>
        <w:t>It’s</w:t>
      </w:r>
      <w:proofErr w:type="gramEnd"/>
      <w:r w:rsidR="000005AC">
        <w:rPr>
          <w:rFonts w:ascii="Arial" w:hAnsi="Arial" w:cs="Arial"/>
        </w:rPr>
        <w:t xml:space="preserve"> not too early to be thinking about and planning for your 2013 tax return. </w:t>
      </w:r>
    </w:p>
    <w:p w:rsidR="00693981" w:rsidRPr="000005AC" w:rsidRDefault="00693981" w:rsidP="000005AC">
      <w:pPr>
        <w:tabs>
          <w:tab w:val="left" w:pos="6660"/>
        </w:tabs>
        <w:autoSpaceDE w:val="0"/>
        <w:autoSpaceDN w:val="0"/>
        <w:adjustRightInd w:val="0"/>
        <w:spacing w:after="120"/>
        <w:rPr>
          <w:rFonts w:ascii="Arial" w:hAnsi="Arial" w:cs="Arial"/>
        </w:rPr>
      </w:pPr>
      <w:r w:rsidRPr="000005AC">
        <w:rPr>
          <w:rFonts w:ascii="Arial" w:hAnsi="Arial" w:cs="Arial"/>
        </w:rPr>
        <w:t>New tax legislation has brought greater certainty to year-end planning</w:t>
      </w:r>
      <w:r w:rsidR="000005AC">
        <w:rPr>
          <w:rFonts w:ascii="Arial" w:hAnsi="Arial" w:cs="Arial"/>
        </w:rPr>
        <w:t>,</w:t>
      </w:r>
      <w:r w:rsidRPr="000005AC">
        <w:rPr>
          <w:rFonts w:ascii="Arial" w:hAnsi="Arial" w:cs="Arial"/>
        </w:rPr>
        <w:t xml:space="preserve"> but also created new challenges.</w:t>
      </w:r>
    </w:p>
    <w:p w:rsidR="00072271" w:rsidRPr="000005AC" w:rsidRDefault="00263E62" w:rsidP="000005AC">
      <w:pPr>
        <w:tabs>
          <w:tab w:val="left" w:pos="6660"/>
        </w:tabs>
        <w:autoSpaceDE w:val="0"/>
        <w:autoSpaceDN w:val="0"/>
        <w:adjustRightInd w:val="0"/>
        <w:spacing w:after="120"/>
        <w:rPr>
          <w:rFonts w:ascii="Arial" w:hAnsi="Arial" w:cs="Arial"/>
        </w:rPr>
      </w:pPr>
      <w:r>
        <w:rPr>
          <w:rFonts w:ascii="Arial" w:hAnsi="Arial" w:cs="Arial"/>
        </w:rPr>
        <w:t>The National Society of Accountants (NSA) notes there</w:t>
      </w:r>
      <w:r w:rsidR="00072271" w:rsidRPr="000005AC">
        <w:rPr>
          <w:rFonts w:ascii="Arial" w:hAnsi="Arial" w:cs="Arial"/>
        </w:rPr>
        <w:t xml:space="preserve"> is still time to set up an appointment for year-end planning. Meet with a tax professional if you have had any major changes during 2013 or are expecting major financial changes in such as retirement or inheritances, to name just two</w:t>
      </w:r>
      <w:r w:rsidR="000005AC">
        <w:rPr>
          <w:rFonts w:ascii="Arial" w:hAnsi="Arial" w:cs="Arial"/>
        </w:rPr>
        <w:t>.</w:t>
      </w:r>
    </w:p>
    <w:p w:rsidR="008E51E2" w:rsidRPr="000005AC" w:rsidRDefault="00263E62" w:rsidP="000005AC">
      <w:pPr>
        <w:tabs>
          <w:tab w:val="left" w:pos="6660"/>
        </w:tabs>
        <w:autoSpaceDE w:val="0"/>
        <w:autoSpaceDN w:val="0"/>
        <w:adjustRightInd w:val="0"/>
        <w:spacing w:after="120"/>
        <w:rPr>
          <w:rFonts w:ascii="Arial" w:hAnsi="Arial" w:cs="Arial"/>
        </w:rPr>
      </w:pPr>
      <w:r>
        <w:rPr>
          <w:rFonts w:ascii="Arial" w:hAnsi="Arial" w:cs="Arial"/>
        </w:rPr>
        <w:t>NSA</w:t>
      </w:r>
      <w:r w:rsidR="008E51E2" w:rsidRPr="000005AC">
        <w:rPr>
          <w:rFonts w:ascii="Arial" w:hAnsi="Arial" w:cs="Arial"/>
        </w:rPr>
        <w:t xml:space="preserve"> offers this checklist of tax changes and strategies, courtesy of CCH (a </w:t>
      </w:r>
      <w:proofErr w:type="spellStart"/>
      <w:r w:rsidR="008E51E2" w:rsidRPr="000005AC">
        <w:rPr>
          <w:rFonts w:ascii="Arial" w:hAnsi="Arial" w:cs="Arial"/>
        </w:rPr>
        <w:t>Wolters</w:t>
      </w:r>
      <w:proofErr w:type="spellEnd"/>
      <w:r w:rsidR="008E51E2" w:rsidRPr="000005AC">
        <w:rPr>
          <w:rFonts w:ascii="Arial" w:hAnsi="Arial" w:cs="Arial"/>
        </w:rPr>
        <w:t xml:space="preserve"> Kluwer business).</w:t>
      </w:r>
    </w:p>
    <w:p w:rsidR="00072271" w:rsidRPr="000005AC" w:rsidRDefault="00072271" w:rsidP="000005AC">
      <w:pPr>
        <w:tabs>
          <w:tab w:val="left" w:pos="6660"/>
        </w:tabs>
        <w:autoSpaceDE w:val="0"/>
        <w:autoSpaceDN w:val="0"/>
        <w:adjustRightInd w:val="0"/>
        <w:spacing w:after="120"/>
        <w:rPr>
          <w:rFonts w:ascii="Arial" w:hAnsi="Arial" w:cs="Arial"/>
        </w:rPr>
      </w:pPr>
    </w:p>
    <w:p w:rsidR="00693981" w:rsidRPr="000005AC" w:rsidRDefault="00263E62" w:rsidP="000005AC">
      <w:pPr>
        <w:tabs>
          <w:tab w:val="left" w:pos="6660"/>
        </w:tabs>
        <w:autoSpaceDE w:val="0"/>
        <w:autoSpaceDN w:val="0"/>
        <w:adjustRightInd w:val="0"/>
        <w:spacing w:after="120"/>
        <w:rPr>
          <w:rFonts w:ascii="Arial" w:hAnsi="Arial" w:cs="Arial"/>
          <w:b/>
          <w:bCs/>
        </w:rPr>
      </w:pPr>
      <w:r>
        <w:rPr>
          <w:rFonts w:ascii="Arial" w:hAnsi="Arial" w:cs="Arial"/>
          <w:b/>
          <w:bCs/>
        </w:rPr>
        <w:t xml:space="preserve">Taxpayer </w:t>
      </w:r>
      <w:r w:rsidR="00693981" w:rsidRPr="000005AC">
        <w:rPr>
          <w:rFonts w:ascii="Arial" w:hAnsi="Arial" w:cs="Arial"/>
          <w:b/>
          <w:bCs/>
        </w:rPr>
        <w:t>Relief Act</w:t>
      </w:r>
    </w:p>
    <w:p w:rsidR="0077303F"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In January 2013, Congress passed the American Taxpayer Relief Act of 2012, which made permanent many, but not all, of the Bush-era tax cuts and also some tax benefits enacted d</w:t>
      </w:r>
      <w:r w:rsidR="00263E62">
        <w:rPr>
          <w:rFonts w:ascii="Arial" w:hAnsi="Arial" w:cs="Arial"/>
        </w:rPr>
        <w:t>uring the Obama A</w:t>
      </w:r>
      <w:r w:rsidR="0077303F" w:rsidRPr="000005AC">
        <w:rPr>
          <w:rFonts w:ascii="Arial" w:hAnsi="Arial" w:cs="Arial"/>
        </w:rPr>
        <w:t>dministration.</w:t>
      </w:r>
    </w:p>
    <w:p w:rsidR="0077303F" w:rsidRPr="000005AC" w:rsidRDefault="002B76C4" w:rsidP="000005AC">
      <w:pPr>
        <w:tabs>
          <w:tab w:val="left" w:pos="6660"/>
        </w:tabs>
        <w:autoSpaceDE w:val="0"/>
        <w:autoSpaceDN w:val="0"/>
        <w:adjustRightInd w:val="0"/>
        <w:spacing w:after="120"/>
        <w:rPr>
          <w:rFonts w:ascii="Arial" w:hAnsi="Arial" w:cs="Arial"/>
        </w:rPr>
      </w:pPr>
      <w:r>
        <w:rPr>
          <w:rFonts w:ascii="Arial" w:hAnsi="Arial" w:cs="Arial"/>
        </w:rPr>
        <w:t>In 2013, two new</w:t>
      </w:r>
      <w:r w:rsidR="009A7160" w:rsidRPr="000005AC">
        <w:rPr>
          <w:rFonts w:ascii="Arial" w:hAnsi="Arial" w:cs="Arial"/>
        </w:rPr>
        <w:t xml:space="preserve"> taxes </w:t>
      </w:r>
      <w:r w:rsidR="0077303F" w:rsidRPr="000005AC">
        <w:rPr>
          <w:rFonts w:ascii="Arial" w:hAnsi="Arial" w:cs="Arial"/>
        </w:rPr>
        <w:t xml:space="preserve">also </w:t>
      </w:r>
      <w:r w:rsidR="00263E62">
        <w:rPr>
          <w:rFonts w:ascii="Arial" w:hAnsi="Arial" w:cs="Arial"/>
        </w:rPr>
        <w:t xml:space="preserve">kicked </w:t>
      </w:r>
      <w:r w:rsidR="009A7160" w:rsidRPr="000005AC">
        <w:rPr>
          <w:rFonts w:ascii="Arial" w:hAnsi="Arial" w:cs="Arial"/>
        </w:rPr>
        <w:t>in</w:t>
      </w:r>
      <w:r w:rsidR="0077303F" w:rsidRPr="000005AC">
        <w:rPr>
          <w:rFonts w:ascii="Arial" w:hAnsi="Arial" w:cs="Arial"/>
        </w:rPr>
        <w:t xml:space="preserve">: </w:t>
      </w:r>
      <w:proofErr w:type="gramStart"/>
      <w:r w:rsidR="009A7160" w:rsidRPr="000005AC">
        <w:rPr>
          <w:rFonts w:ascii="Arial" w:hAnsi="Arial" w:cs="Arial"/>
        </w:rPr>
        <w:t>a 3.8</w:t>
      </w:r>
      <w:proofErr w:type="gramEnd"/>
      <w:r w:rsidR="009A7160" w:rsidRPr="000005AC">
        <w:rPr>
          <w:rFonts w:ascii="Arial" w:hAnsi="Arial" w:cs="Arial"/>
        </w:rPr>
        <w:t xml:space="preserve">-percent net investment income (NII) surtax and a 0.9-percent Additional Medicare Tax. In addition, the U.S. Supreme Court </w:t>
      </w:r>
      <w:r w:rsidR="0077303F" w:rsidRPr="000005AC">
        <w:rPr>
          <w:rFonts w:ascii="Arial" w:hAnsi="Arial" w:cs="Arial"/>
        </w:rPr>
        <w:t xml:space="preserve">declared </w:t>
      </w:r>
      <w:r w:rsidR="009A7160" w:rsidRPr="000005AC">
        <w:rPr>
          <w:rFonts w:ascii="Arial" w:hAnsi="Arial" w:cs="Arial"/>
        </w:rPr>
        <w:t xml:space="preserve">the federal government’s denial of recognition of same-sex marriage </w:t>
      </w:r>
      <w:r w:rsidR="0077303F" w:rsidRPr="000005AC">
        <w:rPr>
          <w:rFonts w:ascii="Arial" w:hAnsi="Arial" w:cs="Arial"/>
        </w:rPr>
        <w:t xml:space="preserve">(DOMA) </w:t>
      </w:r>
      <w:r w:rsidR="009A7160" w:rsidRPr="000005AC">
        <w:rPr>
          <w:rFonts w:ascii="Arial" w:hAnsi="Arial" w:cs="Arial"/>
        </w:rPr>
        <w:t>unconstitutional, opening the door to allowing married same-sex couples to file joint federal tax returns and take advantage of other tax benefit</w:t>
      </w:r>
      <w:r w:rsidR="0077303F" w:rsidRPr="000005AC">
        <w:rPr>
          <w:rFonts w:ascii="Arial" w:hAnsi="Arial" w:cs="Arial"/>
        </w:rPr>
        <w:t>s available to married couples.</w:t>
      </w:r>
    </w:p>
    <w:p w:rsidR="009A7160"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Beginnin</w:t>
      </w:r>
      <w:r w:rsidR="0077303F" w:rsidRPr="000005AC">
        <w:rPr>
          <w:rFonts w:ascii="Arial" w:hAnsi="Arial" w:cs="Arial"/>
        </w:rPr>
        <w:t>g in 2014, some of the most far-</w:t>
      </w:r>
      <w:r w:rsidRPr="000005AC">
        <w:rPr>
          <w:rFonts w:ascii="Arial" w:hAnsi="Arial" w:cs="Arial"/>
        </w:rPr>
        <w:t>reaching provisions of the Affordable Care Act become effective: the individual mandate, the start of Marketplaces to obtain insurance</w:t>
      </w:r>
      <w:r w:rsidR="00263E62">
        <w:rPr>
          <w:rFonts w:ascii="Arial" w:hAnsi="Arial" w:cs="Arial"/>
        </w:rPr>
        <w:t>,</w:t>
      </w:r>
      <w:r w:rsidRPr="000005AC">
        <w:rPr>
          <w:rFonts w:ascii="Arial" w:hAnsi="Arial" w:cs="Arial"/>
        </w:rPr>
        <w:t xml:space="preserve"> and a special tax credit to help offset the cost of insurance.</w:t>
      </w:r>
    </w:p>
    <w:p w:rsidR="0077303F" w:rsidRPr="000005AC" w:rsidRDefault="0077303F" w:rsidP="000005AC">
      <w:pPr>
        <w:tabs>
          <w:tab w:val="left" w:pos="6660"/>
        </w:tabs>
        <w:autoSpaceDE w:val="0"/>
        <w:autoSpaceDN w:val="0"/>
        <w:adjustRightInd w:val="0"/>
        <w:spacing w:after="120"/>
        <w:rPr>
          <w:rFonts w:ascii="Arial" w:hAnsi="Arial" w:cs="Arial"/>
        </w:rPr>
      </w:pPr>
    </w:p>
    <w:p w:rsidR="009A7160"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 </w:t>
      </w:r>
    </w:p>
    <w:p w:rsidR="009A7160" w:rsidRPr="000005AC" w:rsidRDefault="0077303F" w:rsidP="000005AC">
      <w:pPr>
        <w:tabs>
          <w:tab w:val="left" w:pos="6660"/>
        </w:tabs>
        <w:autoSpaceDE w:val="0"/>
        <w:autoSpaceDN w:val="0"/>
        <w:adjustRightInd w:val="0"/>
        <w:spacing w:after="120"/>
        <w:rPr>
          <w:rFonts w:ascii="Arial" w:hAnsi="Arial" w:cs="Arial"/>
          <w:b/>
        </w:rPr>
      </w:pPr>
      <w:r w:rsidRPr="000005AC">
        <w:rPr>
          <w:rFonts w:ascii="Arial" w:hAnsi="Arial" w:cs="Arial"/>
          <w:b/>
          <w:bCs/>
        </w:rPr>
        <w:lastRenderedPageBreak/>
        <w:t>E</w:t>
      </w:r>
      <w:r w:rsidR="009A7160" w:rsidRPr="000005AC">
        <w:rPr>
          <w:rFonts w:ascii="Arial" w:hAnsi="Arial" w:cs="Arial"/>
          <w:b/>
          <w:bCs/>
        </w:rPr>
        <w:t xml:space="preserve">xpiring </w:t>
      </w:r>
      <w:r w:rsidRPr="000005AC">
        <w:rPr>
          <w:rFonts w:ascii="Arial" w:hAnsi="Arial" w:cs="Arial"/>
          <w:b/>
          <w:bCs/>
        </w:rPr>
        <w:t>I</w:t>
      </w:r>
      <w:r w:rsidR="009A7160" w:rsidRPr="000005AC">
        <w:rPr>
          <w:rFonts w:ascii="Arial" w:hAnsi="Arial" w:cs="Arial"/>
          <w:b/>
          <w:bCs/>
        </w:rPr>
        <w:t>ncentives</w:t>
      </w:r>
    </w:p>
    <w:p w:rsidR="00805C0C" w:rsidRPr="000005AC" w:rsidRDefault="00263E62" w:rsidP="000005AC">
      <w:pPr>
        <w:tabs>
          <w:tab w:val="left" w:pos="6660"/>
        </w:tabs>
        <w:autoSpaceDE w:val="0"/>
        <w:autoSpaceDN w:val="0"/>
        <w:adjustRightInd w:val="0"/>
        <w:spacing w:after="120"/>
        <w:rPr>
          <w:rFonts w:ascii="Arial" w:hAnsi="Arial" w:cs="Arial"/>
        </w:rPr>
      </w:pPr>
      <w:r>
        <w:rPr>
          <w:rFonts w:ascii="Arial" w:hAnsi="Arial" w:cs="Arial"/>
        </w:rPr>
        <w:t>Make sure you are aware of some</w:t>
      </w:r>
      <w:r w:rsidR="0077303F" w:rsidRPr="000005AC">
        <w:rPr>
          <w:rFonts w:ascii="Arial" w:hAnsi="Arial" w:cs="Arial"/>
        </w:rPr>
        <w:t xml:space="preserve"> generous</w:t>
      </w:r>
      <w:r w:rsidR="009A7160" w:rsidRPr="000005AC">
        <w:rPr>
          <w:rFonts w:ascii="Arial" w:hAnsi="Arial" w:cs="Arial"/>
        </w:rPr>
        <w:t xml:space="preserve"> but temporary tax incentives</w:t>
      </w:r>
      <w:r w:rsidR="0077303F" w:rsidRPr="000005AC">
        <w:rPr>
          <w:rFonts w:ascii="Arial" w:hAnsi="Arial" w:cs="Arial"/>
        </w:rPr>
        <w:t xml:space="preserve"> </w:t>
      </w:r>
      <w:r w:rsidR="009A7160" w:rsidRPr="000005AC">
        <w:rPr>
          <w:rFonts w:ascii="Arial" w:hAnsi="Arial" w:cs="Arial"/>
        </w:rPr>
        <w:t xml:space="preserve">available in 2013 but </w:t>
      </w:r>
      <w:r w:rsidR="0077303F" w:rsidRPr="000005AC">
        <w:rPr>
          <w:rFonts w:ascii="Arial" w:hAnsi="Arial" w:cs="Arial"/>
        </w:rPr>
        <w:t>that may vanish in 2014.</w:t>
      </w:r>
      <w:r>
        <w:rPr>
          <w:rFonts w:ascii="Arial" w:hAnsi="Arial" w:cs="Arial"/>
        </w:rPr>
        <w:t xml:space="preserve"> They include:</w:t>
      </w:r>
    </w:p>
    <w:p w:rsidR="00805C0C" w:rsidRPr="000005AC" w:rsidRDefault="00263E62" w:rsidP="000005AC">
      <w:pPr>
        <w:pStyle w:val="ListParagraph"/>
        <w:numPr>
          <w:ilvl w:val="0"/>
          <w:numId w:val="18"/>
        </w:numPr>
        <w:tabs>
          <w:tab w:val="left" w:pos="6660"/>
        </w:tabs>
        <w:autoSpaceDE w:val="0"/>
        <w:autoSpaceDN w:val="0"/>
        <w:adjustRightInd w:val="0"/>
        <w:spacing w:after="120"/>
        <w:rPr>
          <w:rFonts w:ascii="Arial" w:hAnsi="Arial" w:cs="Arial"/>
        </w:rPr>
      </w:pPr>
      <w:r>
        <w:rPr>
          <w:rFonts w:ascii="Arial" w:hAnsi="Arial" w:cs="Arial"/>
        </w:rPr>
        <w:t>T</w:t>
      </w:r>
      <w:r w:rsidR="00805C0C" w:rsidRPr="000005AC">
        <w:rPr>
          <w:rFonts w:ascii="Arial" w:hAnsi="Arial" w:cs="Arial"/>
        </w:rPr>
        <w:t>he $250 above-the-line annual deduction for a professional educator’s qualified unreimbursed expenses, including books, supplies, computers</w:t>
      </w:r>
      <w:r>
        <w:rPr>
          <w:rFonts w:ascii="Arial" w:hAnsi="Arial" w:cs="Arial"/>
        </w:rPr>
        <w:t>, and software.</w:t>
      </w:r>
    </w:p>
    <w:p w:rsidR="00805C0C" w:rsidRPr="000005AC" w:rsidRDefault="00263E62" w:rsidP="000005AC">
      <w:pPr>
        <w:pStyle w:val="ListParagraph"/>
        <w:numPr>
          <w:ilvl w:val="0"/>
          <w:numId w:val="18"/>
        </w:numPr>
        <w:tabs>
          <w:tab w:val="left" w:pos="6660"/>
        </w:tabs>
        <w:autoSpaceDE w:val="0"/>
        <w:autoSpaceDN w:val="0"/>
        <w:adjustRightInd w:val="0"/>
        <w:spacing w:after="120"/>
        <w:rPr>
          <w:rFonts w:ascii="Arial" w:hAnsi="Arial" w:cs="Arial"/>
        </w:rPr>
      </w:pPr>
      <w:r>
        <w:rPr>
          <w:rFonts w:ascii="Arial" w:hAnsi="Arial" w:cs="Arial"/>
        </w:rPr>
        <w:t>T</w:t>
      </w:r>
      <w:r w:rsidR="00805C0C" w:rsidRPr="000005AC">
        <w:rPr>
          <w:rFonts w:ascii="Arial" w:hAnsi="Arial" w:cs="Arial"/>
        </w:rPr>
        <w:t>he exclusion from gross income for discharges of qualified p</w:t>
      </w:r>
      <w:r>
        <w:rPr>
          <w:rFonts w:ascii="Arial" w:hAnsi="Arial" w:cs="Arial"/>
        </w:rPr>
        <w:t>rincipal residence indebtedness.</w:t>
      </w:r>
    </w:p>
    <w:p w:rsidR="00805C0C" w:rsidRPr="000005AC" w:rsidRDefault="00263E62" w:rsidP="000005AC">
      <w:pPr>
        <w:pStyle w:val="ListParagraph"/>
        <w:numPr>
          <w:ilvl w:val="0"/>
          <w:numId w:val="18"/>
        </w:numPr>
        <w:tabs>
          <w:tab w:val="left" w:pos="6660"/>
        </w:tabs>
        <w:autoSpaceDE w:val="0"/>
        <w:autoSpaceDN w:val="0"/>
        <w:adjustRightInd w:val="0"/>
        <w:spacing w:after="120"/>
        <w:rPr>
          <w:rFonts w:ascii="Arial" w:hAnsi="Arial" w:cs="Arial"/>
        </w:rPr>
      </w:pPr>
      <w:r>
        <w:rPr>
          <w:rFonts w:ascii="Arial" w:hAnsi="Arial" w:cs="Arial"/>
        </w:rPr>
        <w:t>T</w:t>
      </w:r>
      <w:r w:rsidR="00805C0C" w:rsidRPr="000005AC">
        <w:rPr>
          <w:rFonts w:ascii="Arial" w:hAnsi="Arial" w:cs="Arial"/>
        </w:rPr>
        <w:t xml:space="preserve">he itemized deduction </w:t>
      </w:r>
      <w:r>
        <w:rPr>
          <w:rFonts w:ascii="Arial" w:hAnsi="Arial" w:cs="Arial"/>
        </w:rPr>
        <w:t>for mortgage insurance premiums.</w:t>
      </w:r>
    </w:p>
    <w:p w:rsidR="00805C0C" w:rsidRPr="000005AC" w:rsidRDefault="00263E62" w:rsidP="000005AC">
      <w:pPr>
        <w:pStyle w:val="ListParagraph"/>
        <w:numPr>
          <w:ilvl w:val="0"/>
          <w:numId w:val="18"/>
        </w:numPr>
        <w:tabs>
          <w:tab w:val="left" w:pos="6660"/>
        </w:tabs>
        <w:autoSpaceDE w:val="0"/>
        <w:autoSpaceDN w:val="0"/>
        <w:adjustRightInd w:val="0"/>
        <w:spacing w:after="120"/>
        <w:rPr>
          <w:rFonts w:ascii="Arial" w:hAnsi="Arial" w:cs="Arial"/>
        </w:rPr>
      </w:pPr>
      <w:r>
        <w:rPr>
          <w:rFonts w:ascii="Arial" w:hAnsi="Arial" w:cs="Arial"/>
        </w:rPr>
        <w:t>T</w:t>
      </w:r>
      <w:r w:rsidR="00805C0C" w:rsidRPr="000005AC">
        <w:rPr>
          <w:rFonts w:ascii="Arial" w:hAnsi="Arial" w:cs="Arial"/>
        </w:rPr>
        <w:t>he election to c</w:t>
      </w:r>
      <w:r>
        <w:rPr>
          <w:rFonts w:ascii="Arial" w:hAnsi="Arial" w:cs="Arial"/>
        </w:rPr>
        <w:t>laim an itemized deduction for s</w:t>
      </w:r>
      <w:r w:rsidR="00805C0C" w:rsidRPr="000005AC">
        <w:rPr>
          <w:rFonts w:ascii="Arial" w:hAnsi="Arial" w:cs="Arial"/>
        </w:rPr>
        <w:t xml:space="preserve">tate and local general sales taxes in lieu </w:t>
      </w:r>
      <w:r>
        <w:rPr>
          <w:rFonts w:ascii="Arial" w:hAnsi="Arial" w:cs="Arial"/>
        </w:rPr>
        <w:t>of state and local income taxes.</w:t>
      </w:r>
    </w:p>
    <w:p w:rsidR="00805C0C" w:rsidRPr="000005AC" w:rsidRDefault="00263E62" w:rsidP="000005AC">
      <w:pPr>
        <w:pStyle w:val="ListParagraph"/>
        <w:numPr>
          <w:ilvl w:val="0"/>
          <w:numId w:val="18"/>
        </w:numPr>
        <w:tabs>
          <w:tab w:val="left" w:pos="6660"/>
        </w:tabs>
        <w:autoSpaceDE w:val="0"/>
        <w:autoSpaceDN w:val="0"/>
        <w:adjustRightInd w:val="0"/>
        <w:spacing w:after="120"/>
        <w:rPr>
          <w:rFonts w:ascii="Arial" w:hAnsi="Arial" w:cs="Arial"/>
        </w:rPr>
      </w:pPr>
      <w:r>
        <w:rPr>
          <w:rFonts w:ascii="Arial" w:hAnsi="Arial" w:cs="Arial"/>
        </w:rPr>
        <w:t>T</w:t>
      </w:r>
      <w:r w:rsidR="00805C0C" w:rsidRPr="000005AC">
        <w:rPr>
          <w:rFonts w:ascii="Arial" w:hAnsi="Arial" w:cs="Arial"/>
        </w:rPr>
        <w:t xml:space="preserve">he exclusion from gross income of qualified charitable distributions </w:t>
      </w:r>
      <w:r w:rsidR="002B76C4">
        <w:rPr>
          <w:rFonts w:ascii="Arial" w:hAnsi="Arial" w:cs="Arial"/>
        </w:rPr>
        <w:t xml:space="preserve">from an IRA </w:t>
      </w:r>
      <w:r w:rsidR="00805C0C" w:rsidRPr="000005AC">
        <w:rPr>
          <w:rFonts w:ascii="Arial" w:hAnsi="Arial" w:cs="Arial"/>
        </w:rPr>
        <w:t>for in</w:t>
      </w:r>
      <w:r>
        <w:rPr>
          <w:rFonts w:ascii="Arial" w:hAnsi="Arial" w:cs="Arial"/>
        </w:rPr>
        <w:t>dividuals aged 70½ or older.</w:t>
      </w:r>
    </w:p>
    <w:p w:rsidR="00263E62" w:rsidRDefault="00263E62" w:rsidP="00263E62">
      <w:pPr>
        <w:pStyle w:val="ListParagraph"/>
        <w:numPr>
          <w:ilvl w:val="0"/>
          <w:numId w:val="18"/>
        </w:numPr>
        <w:tabs>
          <w:tab w:val="left" w:pos="6660"/>
        </w:tabs>
        <w:autoSpaceDE w:val="0"/>
        <w:autoSpaceDN w:val="0"/>
        <w:adjustRightInd w:val="0"/>
        <w:spacing w:after="120"/>
        <w:rPr>
          <w:rFonts w:ascii="Arial" w:hAnsi="Arial" w:cs="Arial"/>
        </w:rPr>
      </w:pPr>
      <w:r>
        <w:rPr>
          <w:rFonts w:ascii="Arial" w:hAnsi="Arial" w:cs="Arial"/>
        </w:rPr>
        <w:t>T</w:t>
      </w:r>
      <w:r w:rsidR="00805C0C" w:rsidRPr="000005AC">
        <w:rPr>
          <w:rFonts w:ascii="Arial" w:hAnsi="Arial" w:cs="Arial"/>
        </w:rPr>
        <w:t>he residential energy property credit (lifetime limit remains at $500, and no more than $200 of the credit amount can be attributed to exterior windows and skylights).</w:t>
      </w:r>
    </w:p>
    <w:p w:rsidR="00263E62" w:rsidRPr="00263E62" w:rsidRDefault="00263E62" w:rsidP="00263E62">
      <w:pPr>
        <w:pStyle w:val="ListParagraph"/>
        <w:tabs>
          <w:tab w:val="left" w:pos="6660"/>
        </w:tabs>
        <w:autoSpaceDE w:val="0"/>
        <w:autoSpaceDN w:val="0"/>
        <w:adjustRightInd w:val="0"/>
        <w:spacing w:after="120"/>
        <w:rPr>
          <w:rFonts w:ascii="Arial" w:hAnsi="Arial" w:cs="Arial"/>
        </w:rPr>
      </w:pPr>
    </w:p>
    <w:p w:rsidR="009A7160" w:rsidRPr="00263E62" w:rsidRDefault="0077303F" w:rsidP="000005AC">
      <w:pPr>
        <w:tabs>
          <w:tab w:val="left" w:pos="6660"/>
        </w:tabs>
        <w:autoSpaceDE w:val="0"/>
        <w:autoSpaceDN w:val="0"/>
        <w:adjustRightInd w:val="0"/>
        <w:spacing w:after="120"/>
        <w:rPr>
          <w:rFonts w:ascii="Arial" w:hAnsi="Arial" w:cs="Arial"/>
          <w:b/>
        </w:rPr>
      </w:pPr>
      <w:r w:rsidRPr="000005AC">
        <w:rPr>
          <w:rFonts w:ascii="Arial" w:hAnsi="Arial" w:cs="Arial"/>
          <w:b/>
          <w:bCs/>
        </w:rPr>
        <w:t>N</w:t>
      </w:r>
      <w:r w:rsidR="009A7160" w:rsidRPr="000005AC">
        <w:rPr>
          <w:rFonts w:ascii="Arial" w:hAnsi="Arial" w:cs="Arial"/>
          <w:b/>
          <w:bCs/>
        </w:rPr>
        <w:t xml:space="preserve">ew </w:t>
      </w:r>
      <w:r w:rsidRPr="000005AC">
        <w:rPr>
          <w:rFonts w:ascii="Arial" w:hAnsi="Arial" w:cs="Arial"/>
          <w:b/>
          <w:bCs/>
        </w:rPr>
        <w:t>T</w:t>
      </w:r>
      <w:r w:rsidR="009A7160" w:rsidRPr="000005AC">
        <w:rPr>
          <w:rFonts w:ascii="Arial" w:hAnsi="Arial" w:cs="Arial"/>
          <w:b/>
          <w:bCs/>
        </w:rPr>
        <w:t xml:space="preserve">axes and </w:t>
      </w:r>
      <w:r w:rsidRPr="000005AC">
        <w:rPr>
          <w:rFonts w:ascii="Arial" w:hAnsi="Arial" w:cs="Arial"/>
          <w:b/>
          <w:bCs/>
        </w:rPr>
        <w:t>R</w:t>
      </w:r>
      <w:r w:rsidR="009A7160" w:rsidRPr="000005AC">
        <w:rPr>
          <w:rFonts w:ascii="Arial" w:hAnsi="Arial" w:cs="Arial"/>
          <w:b/>
          <w:bCs/>
        </w:rPr>
        <w:t>ates</w:t>
      </w:r>
    </w:p>
    <w:p w:rsidR="00D51767" w:rsidRPr="000005AC" w:rsidRDefault="00263E62" w:rsidP="000005AC">
      <w:pPr>
        <w:tabs>
          <w:tab w:val="left" w:pos="6660"/>
        </w:tabs>
        <w:autoSpaceDE w:val="0"/>
        <w:autoSpaceDN w:val="0"/>
        <w:adjustRightInd w:val="0"/>
        <w:spacing w:after="120"/>
        <w:rPr>
          <w:rFonts w:ascii="Arial" w:hAnsi="Arial" w:cs="Arial"/>
        </w:rPr>
      </w:pPr>
      <w:r>
        <w:rPr>
          <w:rFonts w:ascii="Arial" w:hAnsi="Arial" w:cs="Arial"/>
        </w:rPr>
        <w:t>Some people</w:t>
      </w:r>
      <w:r w:rsidR="009A7160" w:rsidRPr="000005AC">
        <w:rPr>
          <w:rFonts w:ascii="Arial" w:hAnsi="Arial" w:cs="Arial"/>
        </w:rPr>
        <w:t xml:space="preserve"> may be surprised that they owe additional taxes in 2013, even with the extension of the Bush-era tax cuts. Three new taxes are:</w:t>
      </w:r>
    </w:p>
    <w:p w:rsidR="00263E62" w:rsidRDefault="009A7160"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i/>
        </w:rPr>
        <w:t>Additional Medicare Tax</w:t>
      </w:r>
      <w:r w:rsidR="00D916CC" w:rsidRPr="000005AC">
        <w:rPr>
          <w:rFonts w:ascii="Arial" w:hAnsi="Arial" w:cs="Arial"/>
        </w:rPr>
        <w:t>.</w:t>
      </w:r>
      <w:proofErr w:type="gramEnd"/>
      <w:r w:rsidR="00D916CC" w:rsidRPr="000005AC">
        <w:rPr>
          <w:rFonts w:ascii="Arial" w:hAnsi="Arial" w:cs="Arial"/>
        </w:rPr>
        <w:t xml:space="preserve"> This</w:t>
      </w:r>
      <w:r w:rsidRPr="000005AC">
        <w:rPr>
          <w:rFonts w:ascii="Arial" w:hAnsi="Arial" w:cs="Arial"/>
        </w:rPr>
        <w:t xml:space="preserve"> applies to wages and self-employment income above threshold</w:t>
      </w:r>
      <w:r w:rsidR="00263E62">
        <w:rPr>
          <w:rFonts w:ascii="Arial" w:hAnsi="Arial" w:cs="Arial"/>
        </w:rPr>
        <w:t>s of</w:t>
      </w:r>
      <w:r w:rsidR="00D916CC" w:rsidRPr="000005AC">
        <w:rPr>
          <w:rFonts w:ascii="Arial" w:hAnsi="Arial" w:cs="Arial"/>
        </w:rPr>
        <w:t xml:space="preserve"> </w:t>
      </w:r>
      <w:r w:rsidRPr="000005AC">
        <w:rPr>
          <w:rFonts w:ascii="Arial" w:hAnsi="Arial" w:cs="Arial"/>
        </w:rPr>
        <w:t>$250,000 for married couples filing joint returns and $200,000 for single individuals. One way to reduce the sting of any Additional Medicare Tax liability is to withhold an additional amount of income tax.</w:t>
      </w:r>
    </w:p>
    <w:p w:rsidR="00824C87" w:rsidRPr="000005AC" w:rsidRDefault="00D916CC" w:rsidP="000005AC">
      <w:pPr>
        <w:tabs>
          <w:tab w:val="left" w:pos="6660"/>
        </w:tabs>
        <w:autoSpaceDE w:val="0"/>
        <w:autoSpaceDN w:val="0"/>
        <w:adjustRightInd w:val="0"/>
        <w:spacing w:after="120"/>
        <w:rPr>
          <w:rFonts w:ascii="Arial" w:hAnsi="Arial" w:cs="Arial"/>
        </w:rPr>
      </w:pPr>
      <w:r w:rsidRPr="000005AC">
        <w:rPr>
          <w:rFonts w:ascii="Arial" w:hAnsi="Arial" w:cs="Arial"/>
          <w:i/>
        </w:rPr>
        <w:t>The 39.6 percent top tax rate.</w:t>
      </w:r>
      <w:r w:rsidRPr="000005AC">
        <w:rPr>
          <w:rFonts w:ascii="Arial" w:hAnsi="Arial" w:cs="Arial"/>
        </w:rPr>
        <w:t xml:space="preserve"> R</w:t>
      </w:r>
      <w:r w:rsidR="009A7160" w:rsidRPr="000005AC">
        <w:rPr>
          <w:rFonts w:ascii="Arial" w:hAnsi="Arial" w:cs="Arial"/>
        </w:rPr>
        <w:t xml:space="preserve">evived </w:t>
      </w:r>
      <w:r w:rsidR="00D51767" w:rsidRPr="000005AC">
        <w:rPr>
          <w:rFonts w:ascii="Arial" w:hAnsi="Arial" w:cs="Arial"/>
        </w:rPr>
        <w:t xml:space="preserve">by the </w:t>
      </w:r>
      <w:r w:rsidR="00263E62">
        <w:rPr>
          <w:rFonts w:ascii="Arial" w:hAnsi="Arial" w:cs="Arial"/>
        </w:rPr>
        <w:t xml:space="preserve">Taxpayer </w:t>
      </w:r>
      <w:r w:rsidR="00D51767" w:rsidRPr="000005AC">
        <w:rPr>
          <w:rFonts w:ascii="Arial" w:hAnsi="Arial" w:cs="Arial"/>
        </w:rPr>
        <w:t>Relief Act, this rate has</w:t>
      </w:r>
      <w:r w:rsidR="009A7160" w:rsidRPr="000005AC">
        <w:rPr>
          <w:rFonts w:ascii="Arial" w:hAnsi="Arial" w:cs="Arial"/>
        </w:rPr>
        <w:t xml:space="preserve"> starting points </w:t>
      </w:r>
      <w:r w:rsidR="00D51767" w:rsidRPr="000005AC">
        <w:rPr>
          <w:rFonts w:ascii="Arial" w:hAnsi="Arial" w:cs="Arial"/>
        </w:rPr>
        <w:t>of</w:t>
      </w:r>
      <w:r w:rsidR="009A7160" w:rsidRPr="000005AC">
        <w:rPr>
          <w:rFonts w:ascii="Arial" w:hAnsi="Arial" w:cs="Arial"/>
        </w:rPr>
        <w:t xml:space="preserve"> </w:t>
      </w:r>
      <w:r w:rsidR="00BE78F3">
        <w:rPr>
          <w:rFonts w:ascii="Arial" w:hAnsi="Arial" w:cs="Arial"/>
        </w:rPr>
        <w:t>$</w:t>
      </w:r>
      <w:r w:rsidR="009A7160" w:rsidRPr="000005AC">
        <w:rPr>
          <w:rFonts w:ascii="Arial" w:hAnsi="Arial" w:cs="Arial"/>
        </w:rPr>
        <w:t>450,000 for married couples filing jointly and surviving spouses, $425,000 for heads of househo</w:t>
      </w:r>
      <w:r w:rsidR="00D51767" w:rsidRPr="000005AC">
        <w:rPr>
          <w:rFonts w:ascii="Arial" w:hAnsi="Arial" w:cs="Arial"/>
        </w:rPr>
        <w:t>lds, $400,000 for single filers</w:t>
      </w:r>
      <w:r w:rsidR="009A7160" w:rsidRPr="000005AC">
        <w:rPr>
          <w:rFonts w:ascii="Arial" w:hAnsi="Arial" w:cs="Arial"/>
        </w:rPr>
        <w:t xml:space="preserve"> and $225,000 for married couples filing separately. </w:t>
      </w:r>
      <w:r w:rsidR="00D51767" w:rsidRPr="000005AC">
        <w:rPr>
          <w:rFonts w:ascii="Arial" w:hAnsi="Arial" w:cs="Arial"/>
        </w:rPr>
        <w:t xml:space="preserve">The Relief Act </w:t>
      </w:r>
      <w:r w:rsidR="009A7160" w:rsidRPr="000005AC">
        <w:rPr>
          <w:rFonts w:ascii="Arial" w:hAnsi="Arial" w:cs="Arial"/>
        </w:rPr>
        <w:t xml:space="preserve">also revived the personal exemption </w:t>
      </w:r>
      <w:proofErr w:type="spellStart"/>
      <w:r w:rsidR="009A7160" w:rsidRPr="000005AC">
        <w:rPr>
          <w:rFonts w:ascii="Arial" w:hAnsi="Arial" w:cs="Arial"/>
        </w:rPr>
        <w:t>phaseout</w:t>
      </w:r>
      <w:proofErr w:type="spellEnd"/>
      <w:r w:rsidR="009A7160" w:rsidRPr="000005AC">
        <w:rPr>
          <w:rFonts w:ascii="Arial" w:hAnsi="Arial" w:cs="Arial"/>
        </w:rPr>
        <w:t xml:space="preserve"> and the limitation on</w:t>
      </w:r>
      <w:r w:rsidR="00D51767" w:rsidRPr="000005AC">
        <w:rPr>
          <w:rFonts w:ascii="Arial" w:hAnsi="Arial" w:cs="Arial"/>
        </w:rPr>
        <w:t xml:space="preserve"> itemized deductions for higher-</w:t>
      </w:r>
      <w:r w:rsidR="009A7160" w:rsidRPr="000005AC">
        <w:rPr>
          <w:rFonts w:ascii="Arial" w:hAnsi="Arial" w:cs="Arial"/>
        </w:rPr>
        <w:t>income individuals.</w:t>
      </w:r>
      <w:r w:rsidR="00CE312E">
        <w:rPr>
          <w:rFonts w:ascii="Arial" w:hAnsi="Arial" w:cs="Arial"/>
        </w:rPr>
        <w:t xml:space="preserve"> </w:t>
      </w:r>
      <w:r w:rsidR="009A7160" w:rsidRPr="000005AC">
        <w:rPr>
          <w:rFonts w:ascii="Arial" w:hAnsi="Arial" w:cs="Arial"/>
        </w:rPr>
        <w:t xml:space="preserve">Starting in 2013, </w:t>
      </w:r>
      <w:r w:rsidR="00D51767" w:rsidRPr="000005AC">
        <w:rPr>
          <w:rFonts w:ascii="Arial" w:hAnsi="Arial" w:cs="Arial"/>
        </w:rPr>
        <w:t xml:space="preserve">the Act </w:t>
      </w:r>
      <w:r w:rsidR="009A7160" w:rsidRPr="000005AC">
        <w:rPr>
          <w:rFonts w:ascii="Arial" w:hAnsi="Arial" w:cs="Arial"/>
        </w:rPr>
        <w:t>also sets the top rate for capital gains and dividends to 20 percent. This top rate align</w:t>
      </w:r>
      <w:r w:rsidR="00CE312E">
        <w:rPr>
          <w:rFonts w:ascii="Arial" w:hAnsi="Arial" w:cs="Arial"/>
        </w:rPr>
        <w:t>s itself with the levels where</w:t>
      </w:r>
      <w:r w:rsidR="009A7160" w:rsidRPr="000005AC">
        <w:rPr>
          <w:rFonts w:ascii="Arial" w:hAnsi="Arial" w:cs="Arial"/>
        </w:rPr>
        <w:t xml:space="preserve"> the new 39.6 percent income tax rate bracket starts: capital gains and dividends to the extent they would be otherwise taxed at the 39.6 percent rate as marginal ordinary income will be taxed at the 20 percent rate.</w:t>
      </w:r>
    </w:p>
    <w:p w:rsidR="00824C87" w:rsidRPr="000005AC" w:rsidRDefault="00824C87"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bCs/>
          <w:i/>
          <w:iCs/>
        </w:rPr>
        <w:t>Alternative minimum tax.</w:t>
      </w:r>
      <w:proofErr w:type="gramEnd"/>
      <w:r w:rsidRPr="000005AC">
        <w:rPr>
          <w:rFonts w:ascii="Arial" w:hAnsi="Arial" w:cs="Arial"/>
        </w:rPr>
        <w:t> For 2013, permanent alternative minimum tax (AMT) exemption amounts, annually adjusted for inflation and provided by the Relief Act, are:</w:t>
      </w:r>
    </w:p>
    <w:p w:rsidR="00824C87" w:rsidRPr="000005AC" w:rsidRDefault="00824C87" w:rsidP="000005AC">
      <w:pPr>
        <w:pStyle w:val="ListParagraph"/>
        <w:numPr>
          <w:ilvl w:val="0"/>
          <w:numId w:val="14"/>
        </w:numPr>
        <w:tabs>
          <w:tab w:val="left" w:pos="6660"/>
        </w:tabs>
        <w:autoSpaceDE w:val="0"/>
        <w:autoSpaceDN w:val="0"/>
        <w:adjustRightInd w:val="0"/>
        <w:spacing w:after="120"/>
        <w:rPr>
          <w:rFonts w:ascii="Arial" w:hAnsi="Arial" w:cs="Arial"/>
        </w:rPr>
      </w:pPr>
      <w:r w:rsidRPr="000005AC">
        <w:rPr>
          <w:rFonts w:ascii="Arial" w:hAnsi="Arial" w:cs="Arial"/>
        </w:rPr>
        <w:t>$80,800 for married taxpayers filing jointly and surviving spouses;</w:t>
      </w:r>
    </w:p>
    <w:p w:rsidR="00824C87" w:rsidRPr="000005AC" w:rsidRDefault="00824C87" w:rsidP="000005AC">
      <w:pPr>
        <w:pStyle w:val="ListParagraph"/>
        <w:numPr>
          <w:ilvl w:val="0"/>
          <w:numId w:val="14"/>
        </w:numPr>
        <w:tabs>
          <w:tab w:val="left" w:pos="6660"/>
        </w:tabs>
        <w:autoSpaceDE w:val="0"/>
        <w:autoSpaceDN w:val="0"/>
        <w:adjustRightInd w:val="0"/>
        <w:spacing w:after="120"/>
        <w:rPr>
          <w:rFonts w:ascii="Arial" w:hAnsi="Arial" w:cs="Arial"/>
        </w:rPr>
      </w:pPr>
      <w:r w:rsidRPr="000005AC">
        <w:rPr>
          <w:rFonts w:ascii="Arial" w:hAnsi="Arial" w:cs="Arial"/>
        </w:rPr>
        <w:t>$51,900 for unmarried taxpayers and heads of household, other than surviving spouses; and</w:t>
      </w:r>
    </w:p>
    <w:p w:rsidR="00824C87" w:rsidRPr="007A5EF6" w:rsidRDefault="00824C87" w:rsidP="000005AC">
      <w:pPr>
        <w:pStyle w:val="ListParagraph"/>
        <w:numPr>
          <w:ilvl w:val="0"/>
          <w:numId w:val="14"/>
        </w:numPr>
        <w:tabs>
          <w:tab w:val="left" w:pos="6660"/>
        </w:tabs>
        <w:autoSpaceDE w:val="0"/>
        <w:autoSpaceDN w:val="0"/>
        <w:adjustRightInd w:val="0"/>
        <w:spacing w:after="120"/>
        <w:rPr>
          <w:rFonts w:ascii="Arial" w:hAnsi="Arial" w:cs="Arial"/>
        </w:rPr>
      </w:pPr>
      <w:r w:rsidRPr="000005AC">
        <w:rPr>
          <w:rFonts w:ascii="Arial" w:hAnsi="Arial" w:cs="Arial"/>
        </w:rPr>
        <w:t>$40,400 for married taxpayers filing separately.</w:t>
      </w:r>
    </w:p>
    <w:p w:rsidR="00824C87" w:rsidRPr="000005AC" w:rsidRDefault="00824C87" w:rsidP="000005AC">
      <w:pPr>
        <w:tabs>
          <w:tab w:val="left" w:pos="6660"/>
        </w:tabs>
        <w:autoSpaceDE w:val="0"/>
        <w:autoSpaceDN w:val="0"/>
        <w:adjustRightInd w:val="0"/>
        <w:spacing w:after="120"/>
        <w:rPr>
          <w:rFonts w:ascii="Arial" w:hAnsi="Arial" w:cs="Arial"/>
        </w:rPr>
      </w:pPr>
      <w:r w:rsidRPr="000005AC">
        <w:rPr>
          <w:rFonts w:ascii="Arial" w:hAnsi="Arial" w:cs="Arial"/>
        </w:rPr>
        <w:lastRenderedPageBreak/>
        <w:t xml:space="preserve">Exemptions for the AMT are phased out as taxpayers reach high levels of alternative minimum taxable income (AMTI). Generally, the exemption amounts are phased out by an amount equal to 25 percent of the amount by which an individual’s AMTI exceeds a threshold level. Beginning in 2013, threshold amounts for calculating the exemption </w:t>
      </w:r>
      <w:proofErr w:type="spellStart"/>
      <w:r w:rsidRPr="000005AC">
        <w:rPr>
          <w:rFonts w:ascii="Arial" w:hAnsi="Arial" w:cs="Arial"/>
        </w:rPr>
        <w:t>phaseout</w:t>
      </w:r>
      <w:proofErr w:type="spellEnd"/>
      <w:r w:rsidRPr="000005AC">
        <w:rPr>
          <w:rFonts w:ascii="Arial" w:hAnsi="Arial" w:cs="Arial"/>
        </w:rPr>
        <w:t xml:space="preserve"> are adjusted for inflation as follows:</w:t>
      </w:r>
    </w:p>
    <w:p w:rsidR="00824C87" w:rsidRPr="000005AC" w:rsidRDefault="00824C87" w:rsidP="000005AC">
      <w:pPr>
        <w:pStyle w:val="ListParagraph"/>
        <w:numPr>
          <w:ilvl w:val="0"/>
          <w:numId w:val="15"/>
        </w:numPr>
        <w:tabs>
          <w:tab w:val="left" w:pos="6660"/>
        </w:tabs>
        <w:autoSpaceDE w:val="0"/>
        <w:autoSpaceDN w:val="0"/>
        <w:adjustRightInd w:val="0"/>
        <w:spacing w:after="120"/>
        <w:rPr>
          <w:rFonts w:ascii="Arial" w:hAnsi="Arial" w:cs="Arial"/>
        </w:rPr>
      </w:pPr>
      <w:r w:rsidRPr="000005AC">
        <w:rPr>
          <w:rFonts w:ascii="Arial" w:hAnsi="Arial" w:cs="Arial"/>
        </w:rPr>
        <w:t xml:space="preserve">$153,900 for married taxpayers filing jointly and surviving spouses (complete </w:t>
      </w:r>
      <w:proofErr w:type="spellStart"/>
      <w:r w:rsidRPr="000005AC">
        <w:rPr>
          <w:rFonts w:ascii="Arial" w:hAnsi="Arial" w:cs="Arial"/>
        </w:rPr>
        <w:t>phaseout</w:t>
      </w:r>
      <w:proofErr w:type="spellEnd"/>
      <w:r w:rsidRPr="000005AC">
        <w:rPr>
          <w:rFonts w:ascii="Arial" w:hAnsi="Arial" w:cs="Arial"/>
        </w:rPr>
        <w:t xml:space="preserve"> at $477,100);</w:t>
      </w:r>
    </w:p>
    <w:p w:rsidR="00824C87" w:rsidRPr="000005AC" w:rsidRDefault="00824C87" w:rsidP="000005AC">
      <w:pPr>
        <w:pStyle w:val="ListParagraph"/>
        <w:numPr>
          <w:ilvl w:val="0"/>
          <w:numId w:val="15"/>
        </w:numPr>
        <w:tabs>
          <w:tab w:val="left" w:pos="6660"/>
        </w:tabs>
        <w:autoSpaceDE w:val="0"/>
        <w:autoSpaceDN w:val="0"/>
        <w:adjustRightInd w:val="0"/>
        <w:spacing w:after="120"/>
        <w:rPr>
          <w:rFonts w:ascii="Arial" w:hAnsi="Arial" w:cs="Arial"/>
        </w:rPr>
      </w:pPr>
      <w:r w:rsidRPr="000005AC">
        <w:rPr>
          <w:rFonts w:ascii="Arial" w:hAnsi="Arial" w:cs="Arial"/>
        </w:rPr>
        <w:t xml:space="preserve">$115,400 for unmarried taxpayers and heads of household, other than surviving spouses (complete </w:t>
      </w:r>
      <w:proofErr w:type="spellStart"/>
      <w:r w:rsidRPr="000005AC">
        <w:rPr>
          <w:rFonts w:ascii="Arial" w:hAnsi="Arial" w:cs="Arial"/>
        </w:rPr>
        <w:t>phaseout</w:t>
      </w:r>
      <w:proofErr w:type="spellEnd"/>
      <w:r w:rsidRPr="000005AC">
        <w:rPr>
          <w:rFonts w:ascii="Arial" w:hAnsi="Arial" w:cs="Arial"/>
        </w:rPr>
        <w:t xml:space="preserve"> at $323,000); and</w:t>
      </w:r>
    </w:p>
    <w:p w:rsidR="00824C87" w:rsidRPr="000005AC" w:rsidRDefault="00824C87" w:rsidP="000005AC">
      <w:pPr>
        <w:pStyle w:val="ListParagraph"/>
        <w:numPr>
          <w:ilvl w:val="0"/>
          <w:numId w:val="15"/>
        </w:numPr>
        <w:tabs>
          <w:tab w:val="left" w:pos="6660"/>
        </w:tabs>
        <w:autoSpaceDE w:val="0"/>
        <w:autoSpaceDN w:val="0"/>
        <w:adjustRightInd w:val="0"/>
        <w:spacing w:after="120"/>
        <w:rPr>
          <w:rFonts w:ascii="Arial" w:hAnsi="Arial" w:cs="Arial"/>
        </w:rPr>
      </w:pPr>
      <w:r w:rsidRPr="000005AC">
        <w:rPr>
          <w:rFonts w:ascii="Arial" w:hAnsi="Arial" w:cs="Arial"/>
        </w:rPr>
        <w:t xml:space="preserve">$76,950 for married taxpayers filing separately (complete </w:t>
      </w:r>
      <w:proofErr w:type="spellStart"/>
      <w:r w:rsidRPr="000005AC">
        <w:rPr>
          <w:rFonts w:ascii="Arial" w:hAnsi="Arial" w:cs="Arial"/>
        </w:rPr>
        <w:t>phaseout</w:t>
      </w:r>
      <w:proofErr w:type="spellEnd"/>
      <w:r w:rsidRPr="000005AC">
        <w:rPr>
          <w:rFonts w:ascii="Arial" w:hAnsi="Arial" w:cs="Arial"/>
        </w:rPr>
        <w:t xml:space="preserve"> at $238,550).</w:t>
      </w:r>
    </w:p>
    <w:p w:rsidR="009D28F9" w:rsidRDefault="00CE312E"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i/>
        </w:rPr>
        <w:t xml:space="preserve">The 3.8-percent </w:t>
      </w:r>
      <w:r w:rsidR="007A5EF6">
        <w:rPr>
          <w:rFonts w:ascii="Arial" w:hAnsi="Arial" w:cs="Arial"/>
          <w:i/>
        </w:rPr>
        <w:t>Net Investment Income (</w:t>
      </w:r>
      <w:r w:rsidRPr="000005AC">
        <w:rPr>
          <w:rFonts w:ascii="Arial" w:hAnsi="Arial" w:cs="Arial"/>
          <w:i/>
        </w:rPr>
        <w:t>NII</w:t>
      </w:r>
      <w:r w:rsidR="007A5EF6">
        <w:rPr>
          <w:rFonts w:ascii="Arial" w:hAnsi="Arial" w:cs="Arial"/>
          <w:i/>
        </w:rPr>
        <w:t>)</w:t>
      </w:r>
      <w:r w:rsidRPr="000005AC">
        <w:rPr>
          <w:rFonts w:ascii="Arial" w:hAnsi="Arial" w:cs="Arial"/>
          <w:i/>
        </w:rPr>
        <w:t xml:space="preserve"> surtax.</w:t>
      </w:r>
      <w:proofErr w:type="gramEnd"/>
      <w:r w:rsidRPr="000005AC">
        <w:rPr>
          <w:rFonts w:ascii="Arial" w:hAnsi="Arial" w:cs="Arial"/>
          <w:i/>
        </w:rPr>
        <w:t xml:space="preserve"> </w:t>
      </w:r>
      <w:r w:rsidRPr="000005AC">
        <w:rPr>
          <w:rFonts w:ascii="Arial" w:hAnsi="Arial" w:cs="Arial"/>
        </w:rPr>
        <w:t>This</w:t>
      </w:r>
      <w:r>
        <w:rPr>
          <w:rFonts w:ascii="Arial" w:hAnsi="Arial" w:cs="Arial"/>
        </w:rPr>
        <w:t xml:space="preserve"> </w:t>
      </w:r>
      <w:r w:rsidRPr="000005AC">
        <w:rPr>
          <w:rFonts w:ascii="Arial" w:hAnsi="Arial" w:cs="Arial"/>
        </w:rPr>
        <w:t>applies</w:t>
      </w:r>
      <w:r>
        <w:rPr>
          <w:rFonts w:ascii="Arial" w:hAnsi="Arial" w:cs="Arial"/>
        </w:rPr>
        <w:t xml:space="preserve"> broadly</w:t>
      </w:r>
      <w:r w:rsidRPr="000005AC">
        <w:rPr>
          <w:rFonts w:ascii="Arial" w:hAnsi="Arial" w:cs="Arial"/>
        </w:rPr>
        <w:t xml:space="preserve"> to individuals, estates and trusts that have certain investment income above set amounts, including a $250,000 threshold for married couples filing jointly and $200,000 for single filers.</w:t>
      </w:r>
      <w:r>
        <w:rPr>
          <w:rFonts w:ascii="Arial" w:hAnsi="Arial" w:cs="Arial"/>
        </w:rPr>
        <w:t xml:space="preserve"> NII includes</w:t>
      </w:r>
      <w:r w:rsidRPr="000005AC">
        <w:rPr>
          <w:rFonts w:ascii="Arial" w:hAnsi="Arial" w:cs="Arial"/>
        </w:rPr>
        <w:t xml:space="preserve"> investment income reduced by certain investment-related expenses, such as investment interest expense, investment brokerage fees, royalty-related expenses, and state and local taxes allocable to items in</w:t>
      </w:r>
      <w:r>
        <w:rPr>
          <w:rFonts w:ascii="Arial" w:hAnsi="Arial" w:cs="Arial"/>
        </w:rPr>
        <w:t>cluded in net investment income.</w:t>
      </w:r>
      <w:r w:rsidRPr="000005AC">
        <w:rPr>
          <w:rFonts w:ascii="Arial" w:hAnsi="Arial" w:cs="Arial"/>
        </w:rPr>
        <w:t> </w:t>
      </w:r>
    </w:p>
    <w:p w:rsidR="007A5EF6" w:rsidRPr="007A5EF6" w:rsidRDefault="007A5EF6" w:rsidP="000005AC">
      <w:pPr>
        <w:tabs>
          <w:tab w:val="left" w:pos="6660"/>
        </w:tabs>
        <w:autoSpaceDE w:val="0"/>
        <w:autoSpaceDN w:val="0"/>
        <w:adjustRightInd w:val="0"/>
        <w:spacing w:after="120"/>
        <w:rPr>
          <w:rFonts w:ascii="Arial" w:hAnsi="Arial" w:cs="Arial"/>
        </w:rPr>
      </w:pPr>
    </w:p>
    <w:p w:rsidR="009A7160" w:rsidRPr="007A5EF6" w:rsidRDefault="00D51767" w:rsidP="000005AC">
      <w:pPr>
        <w:tabs>
          <w:tab w:val="left" w:pos="6660"/>
        </w:tabs>
        <w:autoSpaceDE w:val="0"/>
        <w:autoSpaceDN w:val="0"/>
        <w:adjustRightInd w:val="0"/>
        <w:spacing w:after="120"/>
        <w:rPr>
          <w:rFonts w:ascii="Arial" w:hAnsi="Arial" w:cs="Arial"/>
          <w:b/>
        </w:rPr>
      </w:pPr>
      <w:r w:rsidRPr="000005AC">
        <w:rPr>
          <w:rFonts w:ascii="Arial" w:hAnsi="Arial" w:cs="Arial"/>
          <w:b/>
          <w:bCs/>
        </w:rPr>
        <w:t>Health-C</w:t>
      </w:r>
      <w:r w:rsidR="009A7160" w:rsidRPr="000005AC">
        <w:rPr>
          <w:rFonts w:ascii="Arial" w:hAnsi="Arial" w:cs="Arial"/>
          <w:b/>
          <w:bCs/>
        </w:rPr>
        <w:t xml:space="preserve">are </w:t>
      </w:r>
      <w:r w:rsidRPr="000005AC">
        <w:rPr>
          <w:rFonts w:ascii="Arial" w:hAnsi="Arial" w:cs="Arial"/>
          <w:b/>
          <w:bCs/>
        </w:rPr>
        <w:t>C</w:t>
      </w:r>
      <w:r w:rsidR="009A7160" w:rsidRPr="000005AC">
        <w:rPr>
          <w:rFonts w:ascii="Arial" w:hAnsi="Arial" w:cs="Arial"/>
          <w:b/>
          <w:bCs/>
        </w:rPr>
        <w:t>hanges</w:t>
      </w:r>
    </w:p>
    <w:p w:rsidR="00D51767"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The Affordable Care Act</w:t>
      </w:r>
      <w:r w:rsidR="00D51767" w:rsidRPr="000005AC">
        <w:rPr>
          <w:rFonts w:ascii="Arial" w:hAnsi="Arial" w:cs="Arial"/>
        </w:rPr>
        <w:t xml:space="preserve">, </w:t>
      </w:r>
      <w:r w:rsidRPr="000005AC">
        <w:rPr>
          <w:rFonts w:ascii="Arial" w:hAnsi="Arial" w:cs="Arial"/>
        </w:rPr>
        <w:t>a sea-change to our traditional image of health insurance</w:t>
      </w:r>
      <w:r w:rsidR="00D51767" w:rsidRPr="000005AC">
        <w:rPr>
          <w:rFonts w:ascii="Arial" w:hAnsi="Arial" w:cs="Arial"/>
        </w:rPr>
        <w:t xml:space="preserve">, requires individuals </w:t>
      </w:r>
      <w:r w:rsidR="007A5EF6">
        <w:rPr>
          <w:rFonts w:ascii="Arial" w:hAnsi="Arial" w:cs="Arial"/>
        </w:rPr>
        <w:t>(</w:t>
      </w:r>
      <w:r w:rsidR="00D51767" w:rsidRPr="000005AC">
        <w:rPr>
          <w:rFonts w:ascii="Arial" w:hAnsi="Arial" w:cs="Arial"/>
        </w:rPr>
        <w:t>unless exempt</w:t>
      </w:r>
      <w:r w:rsidR="007A5EF6">
        <w:rPr>
          <w:rFonts w:ascii="Arial" w:hAnsi="Arial" w:cs="Arial"/>
        </w:rPr>
        <w:t>)</w:t>
      </w:r>
      <w:r w:rsidRPr="000005AC">
        <w:rPr>
          <w:rFonts w:ascii="Arial" w:hAnsi="Arial" w:cs="Arial"/>
        </w:rPr>
        <w:t xml:space="preserve"> to either carry minimum essential health care coverage or make a shared responsibility pay</w:t>
      </w:r>
      <w:r w:rsidR="00D51767" w:rsidRPr="000005AC">
        <w:rPr>
          <w:rFonts w:ascii="Arial" w:hAnsi="Arial" w:cs="Arial"/>
        </w:rPr>
        <w:t>ment (also known as a penalty).</w:t>
      </w:r>
    </w:p>
    <w:p w:rsidR="00D51767"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Most employer-sponsored health insurance is deemed to be minimum essential coverage, as is coverage</w:t>
      </w:r>
      <w:r w:rsidR="00D51767" w:rsidRPr="000005AC">
        <w:rPr>
          <w:rFonts w:ascii="Arial" w:hAnsi="Arial" w:cs="Arial"/>
        </w:rPr>
        <w:t xml:space="preserve"> provided by Medicare, Medicaid</w:t>
      </w:r>
      <w:r w:rsidRPr="000005AC">
        <w:rPr>
          <w:rFonts w:ascii="Arial" w:hAnsi="Arial" w:cs="Arial"/>
        </w:rPr>
        <w:t xml:space="preserve"> and other government programs. Self-employed individuals and small</w:t>
      </w:r>
      <w:r w:rsidR="00D51767" w:rsidRPr="000005AC">
        <w:rPr>
          <w:rFonts w:ascii="Arial" w:hAnsi="Arial" w:cs="Arial"/>
        </w:rPr>
        <w:t>-</w:t>
      </w:r>
      <w:r w:rsidRPr="000005AC">
        <w:rPr>
          <w:rFonts w:ascii="Arial" w:hAnsi="Arial" w:cs="Arial"/>
        </w:rPr>
        <w:t xml:space="preserve">business owners should revisit their health insurance coverage, if </w:t>
      </w:r>
      <w:r w:rsidR="00D51767" w:rsidRPr="000005AC">
        <w:rPr>
          <w:rFonts w:ascii="Arial" w:hAnsi="Arial" w:cs="Arial"/>
        </w:rPr>
        <w:t>any</w:t>
      </w:r>
      <w:r w:rsidRPr="000005AC">
        <w:rPr>
          <w:rFonts w:ascii="Arial" w:hAnsi="Arial" w:cs="Arial"/>
        </w:rPr>
        <w:t xml:space="preserve">, before year-end and weigh the benefits and costs of obtaining coverage in a public Marketplace (or a private insurance exchange) for </w:t>
      </w:r>
      <w:r w:rsidR="00D51767" w:rsidRPr="000005AC">
        <w:rPr>
          <w:rFonts w:ascii="Arial" w:hAnsi="Arial" w:cs="Arial"/>
        </w:rPr>
        <w:t>themselves and their employees.</w:t>
      </w:r>
    </w:p>
    <w:p w:rsidR="00D51767"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Small businesses may be eligible for a tax credit to help pay for health insurance. Individuals may qualify for a premium assistance tax credit, refundable and payable in advance, to offset the cost of coverage.</w:t>
      </w:r>
    </w:p>
    <w:p w:rsidR="00D51767"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 xml:space="preserve">Individuals with health flexible spending accounts (FSAs) and similar arrangements should take a look at their spending habits for 2013 and predict how they will use these tax-favored funds in the future. In 2013, the maximum salary-reduction contribution to a health FSA is $2,500. </w:t>
      </w:r>
      <w:r w:rsidR="00D51767" w:rsidRPr="000005AC">
        <w:rPr>
          <w:rFonts w:ascii="Arial" w:hAnsi="Arial" w:cs="Arial"/>
        </w:rPr>
        <w:t>Health FSAs have strict use-it-or-lose-</w:t>
      </w:r>
      <w:r w:rsidRPr="000005AC">
        <w:rPr>
          <w:rFonts w:ascii="Arial" w:hAnsi="Arial" w:cs="Arial"/>
        </w:rPr>
        <w:t>it rules, and the cost of over-the-counter drugs cannot be reimbursed with health FSA dollars unless you obtain a prescription (there are some exceptions).</w:t>
      </w:r>
    </w:p>
    <w:p w:rsidR="00D51767" w:rsidRPr="000005AC" w:rsidRDefault="00D51767" w:rsidP="000005AC">
      <w:pPr>
        <w:tabs>
          <w:tab w:val="left" w:pos="6660"/>
        </w:tabs>
        <w:autoSpaceDE w:val="0"/>
        <w:autoSpaceDN w:val="0"/>
        <w:adjustRightInd w:val="0"/>
        <w:spacing w:after="120"/>
        <w:rPr>
          <w:rFonts w:ascii="Arial" w:hAnsi="Arial" w:cs="Arial"/>
        </w:rPr>
      </w:pPr>
    </w:p>
    <w:p w:rsidR="00243F0C" w:rsidRPr="000005AC" w:rsidRDefault="00243F0C"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bCs/>
          <w:i/>
          <w:iCs/>
        </w:rPr>
        <w:lastRenderedPageBreak/>
        <w:t>Increased medical expense threshold.</w:t>
      </w:r>
      <w:proofErr w:type="gramEnd"/>
      <w:r w:rsidRPr="000005AC">
        <w:rPr>
          <w:rFonts w:ascii="Arial" w:hAnsi="Arial" w:cs="Arial"/>
        </w:rPr>
        <w:t> In 2013, the threshold for the itemized deduction for unreimbursed medical expenses increases from 7.5 percent of AGI to 10 percent of AGI for regular income tax purposes. For AMT purposes, medical expenses remain deductible only to the extent they exceed 10 percent of AGI. However, taxpayers (or their spouses) who are age 65 and older before the close of the tax year are exempt from the increased threshold of 10 percent for the 2013 through 2016 tax years. These taxpayers can continue to deduct qualified medical expenses that exceed 7.5 percent of AGI.</w:t>
      </w:r>
    </w:p>
    <w:p w:rsidR="00805C0C" w:rsidRPr="000005AC" w:rsidRDefault="00805C0C" w:rsidP="000005AC">
      <w:pPr>
        <w:tabs>
          <w:tab w:val="left" w:pos="6660"/>
        </w:tabs>
        <w:autoSpaceDE w:val="0"/>
        <w:autoSpaceDN w:val="0"/>
        <w:adjustRightInd w:val="0"/>
        <w:spacing w:after="120"/>
        <w:rPr>
          <w:rFonts w:ascii="Arial" w:hAnsi="Arial" w:cs="Arial"/>
        </w:rPr>
      </w:pPr>
    </w:p>
    <w:p w:rsidR="00805C0C" w:rsidRPr="000005AC" w:rsidRDefault="00805C0C" w:rsidP="000005AC">
      <w:pPr>
        <w:tabs>
          <w:tab w:val="left" w:pos="6660"/>
        </w:tabs>
        <w:autoSpaceDE w:val="0"/>
        <w:autoSpaceDN w:val="0"/>
        <w:adjustRightInd w:val="0"/>
        <w:spacing w:after="120"/>
        <w:rPr>
          <w:rFonts w:ascii="Arial" w:hAnsi="Arial" w:cs="Arial"/>
          <w:b/>
        </w:rPr>
      </w:pPr>
      <w:r w:rsidRPr="000005AC">
        <w:rPr>
          <w:rFonts w:ascii="Arial" w:hAnsi="Arial" w:cs="Arial"/>
          <w:b/>
          <w:bCs/>
        </w:rPr>
        <w:t>Same-Sex Marriage Ruling</w:t>
      </w:r>
    </w:p>
    <w:p w:rsidR="00805C0C" w:rsidRPr="000005AC" w:rsidRDefault="00805C0C" w:rsidP="000005AC">
      <w:pPr>
        <w:tabs>
          <w:tab w:val="left" w:pos="6660"/>
        </w:tabs>
        <w:autoSpaceDE w:val="0"/>
        <w:autoSpaceDN w:val="0"/>
        <w:adjustRightInd w:val="0"/>
        <w:spacing w:after="120"/>
        <w:rPr>
          <w:rFonts w:ascii="Arial" w:hAnsi="Arial" w:cs="Arial"/>
        </w:rPr>
      </w:pPr>
      <w:r w:rsidRPr="000005AC">
        <w:rPr>
          <w:rFonts w:ascii="Arial" w:hAnsi="Arial" w:cs="Arial"/>
        </w:rPr>
        <w:t>The same-sex marriage ruling states that same-sex couples who are legally married in a state that recognizes their marriage are considered married for federal tax purposes, regar</w:t>
      </w:r>
      <w:bookmarkStart w:id="0" w:name="_GoBack"/>
      <w:bookmarkEnd w:id="0"/>
      <w:r w:rsidRPr="000005AC">
        <w:rPr>
          <w:rFonts w:ascii="Arial" w:hAnsi="Arial" w:cs="Arial"/>
        </w:rPr>
        <w:t>dless of whether their state recognizes same-sex marriage. Although this ruling was effective September 16, 2013, it is applied retroactively for 2013. As a result, in 2013 and all future years, legally married same-sex couples must file their federal income tax returns as married filing jointly or married filing separately.</w:t>
      </w:r>
      <w:r w:rsidR="00940E82">
        <w:rPr>
          <w:rFonts w:ascii="Arial" w:hAnsi="Arial" w:cs="Arial"/>
        </w:rPr>
        <w:t xml:space="preserve"> </w:t>
      </w:r>
      <w:r w:rsidR="00940E82" w:rsidRPr="00940E82">
        <w:rPr>
          <w:rFonts w:ascii="Arial" w:hAnsi="Arial" w:cs="Arial"/>
        </w:rPr>
        <w:t>Refund claims can still be filed for tax years 2010, 2011 and 2012.</w:t>
      </w:r>
    </w:p>
    <w:p w:rsidR="00805C0C" w:rsidRPr="000005AC" w:rsidRDefault="00805C0C" w:rsidP="000005AC">
      <w:pPr>
        <w:tabs>
          <w:tab w:val="left" w:pos="6660"/>
        </w:tabs>
        <w:autoSpaceDE w:val="0"/>
        <w:autoSpaceDN w:val="0"/>
        <w:adjustRightInd w:val="0"/>
        <w:spacing w:after="120"/>
        <w:rPr>
          <w:rFonts w:ascii="Arial" w:hAnsi="Arial" w:cs="Arial"/>
        </w:rPr>
      </w:pPr>
      <w:r w:rsidRPr="000005AC">
        <w:rPr>
          <w:rFonts w:ascii="Arial" w:hAnsi="Arial" w:cs="Arial"/>
        </w:rPr>
        <w:t>The ruling opens the door for same-sex married couples to enjoy all of the federal tax-related benefits previously available only to opposite-sex married couples. Any same-sex marriage legally entered into in one of the 50 states, the District of Columbia, a U.S. territory or a foreign country is covered by the ruling. These benefits include (but are not limited to):</w:t>
      </w:r>
    </w:p>
    <w:p w:rsidR="00805C0C" w:rsidRPr="000005AC" w:rsidRDefault="00805C0C" w:rsidP="000005AC">
      <w:pPr>
        <w:pStyle w:val="ListParagraph"/>
        <w:numPr>
          <w:ilvl w:val="0"/>
          <w:numId w:val="19"/>
        </w:numPr>
        <w:tabs>
          <w:tab w:val="left" w:pos="6660"/>
        </w:tabs>
        <w:autoSpaceDE w:val="0"/>
        <w:autoSpaceDN w:val="0"/>
        <w:adjustRightInd w:val="0"/>
        <w:spacing w:after="120"/>
        <w:rPr>
          <w:rFonts w:ascii="Arial" w:hAnsi="Arial" w:cs="Arial"/>
        </w:rPr>
      </w:pPr>
      <w:r w:rsidRPr="000005AC">
        <w:rPr>
          <w:rFonts w:ascii="Arial" w:hAnsi="Arial" w:cs="Arial"/>
        </w:rPr>
        <w:t>Income tax benefits such as marriage penalty relief</w:t>
      </w:r>
    </w:p>
    <w:p w:rsidR="00805C0C" w:rsidRPr="000005AC" w:rsidRDefault="00805C0C" w:rsidP="000005AC">
      <w:pPr>
        <w:pStyle w:val="ListParagraph"/>
        <w:numPr>
          <w:ilvl w:val="0"/>
          <w:numId w:val="19"/>
        </w:numPr>
        <w:tabs>
          <w:tab w:val="left" w:pos="6660"/>
        </w:tabs>
        <w:autoSpaceDE w:val="0"/>
        <w:autoSpaceDN w:val="0"/>
        <w:adjustRightInd w:val="0"/>
        <w:spacing w:after="120"/>
        <w:rPr>
          <w:rFonts w:ascii="Arial" w:hAnsi="Arial" w:cs="Arial"/>
        </w:rPr>
      </w:pPr>
      <w:r w:rsidRPr="000005AC">
        <w:rPr>
          <w:rFonts w:ascii="Arial" w:hAnsi="Arial" w:cs="Arial"/>
        </w:rPr>
        <w:t>Estate and gift tax benefits</w:t>
      </w:r>
    </w:p>
    <w:p w:rsidR="00805C0C" w:rsidRPr="000005AC" w:rsidRDefault="00805C0C" w:rsidP="000005AC">
      <w:pPr>
        <w:pStyle w:val="ListParagraph"/>
        <w:numPr>
          <w:ilvl w:val="0"/>
          <w:numId w:val="19"/>
        </w:numPr>
        <w:tabs>
          <w:tab w:val="left" w:pos="6660"/>
        </w:tabs>
        <w:autoSpaceDE w:val="0"/>
        <w:autoSpaceDN w:val="0"/>
        <w:adjustRightInd w:val="0"/>
        <w:spacing w:after="120"/>
        <w:rPr>
          <w:rFonts w:ascii="Arial" w:hAnsi="Arial" w:cs="Arial"/>
        </w:rPr>
      </w:pPr>
      <w:r w:rsidRPr="000005AC">
        <w:rPr>
          <w:rFonts w:ascii="Arial" w:hAnsi="Arial" w:cs="Arial"/>
        </w:rPr>
        <w:t>Married filing jointing or separately filing status and standard deduction</w:t>
      </w:r>
    </w:p>
    <w:p w:rsidR="00805C0C" w:rsidRPr="000005AC" w:rsidRDefault="00805C0C" w:rsidP="000005AC">
      <w:pPr>
        <w:pStyle w:val="ListParagraph"/>
        <w:numPr>
          <w:ilvl w:val="0"/>
          <w:numId w:val="19"/>
        </w:numPr>
        <w:tabs>
          <w:tab w:val="left" w:pos="6660"/>
        </w:tabs>
        <w:autoSpaceDE w:val="0"/>
        <w:autoSpaceDN w:val="0"/>
        <w:adjustRightInd w:val="0"/>
        <w:spacing w:after="120"/>
        <w:rPr>
          <w:rFonts w:ascii="Arial" w:hAnsi="Arial" w:cs="Arial"/>
        </w:rPr>
      </w:pPr>
      <w:r w:rsidRPr="000005AC">
        <w:rPr>
          <w:rFonts w:ascii="Arial" w:hAnsi="Arial" w:cs="Arial"/>
        </w:rPr>
        <w:t>Claiming personal and dependency exemptions and child-driven credits</w:t>
      </w:r>
    </w:p>
    <w:p w:rsidR="00805C0C" w:rsidRPr="000005AC" w:rsidRDefault="00805C0C" w:rsidP="000005AC">
      <w:pPr>
        <w:pStyle w:val="ListParagraph"/>
        <w:numPr>
          <w:ilvl w:val="0"/>
          <w:numId w:val="19"/>
        </w:numPr>
        <w:tabs>
          <w:tab w:val="left" w:pos="6660"/>
        </w:tabs>
        <w:autoSpaceDE w:val="0"/>
        <w:autoSpaceDN w:val="0"/>
        <w:adjustRightInd w:val="0"/>
        <w:spacing w:after="120"/>
        <w:rPr>
          <w:rFonts w:ascii="Arial" w:hAnsi="Arial" w:cs="Arial"/>
        </w:rPr>
      </w:pPr>
      <w:r w:rsidRPr="000005AC">
        <w:rPr>
          <w:rFonts w:ascii="Arial" w:hAnsi="Arial" w:cs="Arial"/>
        </w:rPr>
        <w:t>Taxpayer-friendly employee benefits</w:t>
      </w:r>
    </w:p>
    <w:p w:rsidR="00805C0C" w:rsidRPr="009636E9" w:rsidRDefault="00805C0C" w:rsidP="000005AC">
      <w:pPr>
        <w:pStyle w:val="ListParagraph"/>
        <w:numPr>
          <w:ilvl w:val="0"/>
          <w:numId w:val="19"/>
        </w:numPr>
        <w:tabs>
          <w:tab w:val="left" w:pos="6660"/>
        </w:tabs>
        <w:autoSpaceDE w:val="0"/>
        <w:autoSpaceDN w:val="0"/>
        <w:adjustRightInd w:val="0"/>
        <w:spacing w:after="120"/>
        <w:rPr>
          <w:rFonts w:ascii="Arial" w:hAnsi="Arial" w:cs="Arial"/>
        </w:rPr>
      </w:pPr>
      <w:r w:rsidRPr="000005AC">
        <w:rPr>
          <w:rFonts w:ascii="Arial" w:hAnsi="Arial" w:cs="Arial"/>
        </w:rPr>
        <w:t>Spousal IRAs</w:t>
      </w:r>
    </w:p>
    <w:p w:rsidR="00805C0C" w:rsidRPr="000005AC" w:rsidRDefault="00805C0C" w:rsidP="000005AC">
      <w:pPr>
        <w:tabs>
          <w:tab w:val="left" w:pos="6660"/>
        </w:tabs>
        <w:autoSpaceDE w:val="0"/>
        <w:autoSpaceDN w:val="0"/>
        <w:adjustRightInd w:val="0"/>
        <w:spacing w:after="120"/>
        <w:rPr>
          <w:rFonts w:ascii="Arial" w:hAnsi="Arial" w:cs="Arial"/>
          <w:b/>
        </w:rPr>
      </w:pPr>
    </w:p>
    <w:p w:rsidR="009D28F9" w:rsidRPr="000005AC" w:rsidRDefault="009D28F9" w:rsidP="000005AC">
      <w:pPr>
        <w:tabs>
          <w:tab w:val="left" w:pos="6660"/>
        </w:tabs>
        <w:autoSpaceDE w:val="0"/>
        <w:autoSpaceDN w:val="0"/>
        <w:adjustRightInd w:val="0"/>
        <w:spacing w:after="120"/>
        <w:rPr>
          <w:rFonts w:ascii="Arial" w:hAnsi="Arial" w:cs="Arial"/>
          <w:b/>
        </w:rPr>
      </w:pPr>
      <w:r w:rsidRPr="000005AC">
        <w:rPr>
          <w:rFonts w:ascii="Arial" w:hAnsi="Arial" w:cs="Arial"/>
          <w:b/>
        </w:rPr>
        <w:t>Higher Income Filing</w:t>
      </w:r>
    </w:p>
    <w:p w:rsidR="009D28F9" w:rsidRPr="000005AC" w:rsidRDefault="009D28F9" w:rsidP="000005AC">
      <w:pPr>
        <w:tabs>
          <w:tab w:val="left" w:pos="6660"/>
        </w:tabs>
        <w:autoSpaceDE w:val="0"/>
        <w:autoSpaceDN w:val="0"/>
        <w:adjustRightInd w:val="0"/>
        <w:spacing w:after="120"/>
        <w:rPr>
          <w:rFonts w:ascii="Arial" w:hAnsi="Arial" w:cs="Arial"/>
        </w:rPr>
      </w:pPr>
      <w:r w:rsidRPr="000005AC">
        <w:rPr>
          <w:rFonts w:ascii="Arial" w:hAnsi="Arial" w:cs="Arial"/>
        </w:rPr>
        <w:t xml:space="preserve">Beginning in 2013, the itemized deduction </w:t>
      </w:r>
      <w:proofErr w:type="spellStart"/>
      <w:r w:rsidRPr="000005AC">
        <w:rPr>
          <w:rFonts w:ascii="Arial" w:hAnsi="Arial" w:cs="Arial"/>
        </w:rPr>
        <w:t>phaseout</w:t>
      </w:r>
      <w:proofErr w:type="spellEnd"/>
      <w:r w:rsidRPr="000005AC">
        <w:rPr>
          <w:rFonts w:ascii="Arial" w:hAnsi="Arial" w:cs="Arial"/>
        </w:rPr>
        <w:t xml:space="preserve"> reduces itemized deductions when AGI exceeds the following threshold amounts, which will be adjusted for inflation beginning in 2014:</w:t>
      </w:r>
    </w:p>
    <w:p w:rsidR="009D28F9" w:rsidRPr="000005AC" w:rsidRDefault="009D28F9" w:rsidP="000005AC">
      <w:pPr>
        <w:pStyle w:val="ListParagraph"/>
        <w:numPr>
          <w:ilvl w:val="0"/>
          <w:numId w:val="16"/>
        </w:numPr>
        <w:tabs>
          <w:tab w:val="left" w:pos="6660"/>
        </w:tabs>
        <w:autoSpaceDE w:val="0"/>
        <w:autoSpaceDN w:val="0"/>
        <w:adjustRightInd w:val="0"/>
        <w:spacing w:after="120"/>
        <w:rPr>
          <w:rFonts w:ascii="Arial" w:hAnsi="Arial" w:cs="Arial"/>
        </w:rPr>
      </w:pPr>
      <w:r w:rsidRPr="000005AC">
        <w:rPr>
          <w:rFonts w:ascii="Arial" w:hAnsi="Arial" w:cs="Arial"/>
        </w:rPr>
        <w:t>$300,000 for married taxpayers filin</w:t>
      </w:r>
      <w:r w:rsidR="009636E9">
        <w:rPr>
          <w:rFonts w:ascii="Arial" w:hAnsi="Arial" w:cs="Arial"/>
        </w:rPr>
        <w:t>g jointly and surviving spouses</w:t>
      </w:r>
    </w:p>
    <w:p w:rsidR="009D28F9" w:rsidRPr="000005AC" w:rsidRDefault="009D28F9" w:rsidP="000005AC">
      <w:pPr>
        <w:pStyle w:val="ListParagraph"/>
        <w:numPr>
          <w:ilvl w:val="0"/>
          <w:numId w:val="16"/>
        </w:numPr>
        <w:tabs>
          <w:tab w:val="left" w:pos="6660"/>
        </w:tabs>
        <w:autoSpaceDE w:val="0"/>
        <w:autoSpaceDN w:val="0"/>
        <w:adjustRightInd w:val="0"/>
        <w:spacing w:after="120"/>
        <w:rPr>
          <w:rFonts w:ascii="Arial" w:hAnsi="Arial" w:cs="Arial"/>
        </w:rPr>
      </w:pPr>
      <w:r w:rsidRPr="000005AC">
        <w:rPr>
          <w:rFonts w:ascii="Arial" w:hAnsi="Arial" w:cs="Arial"/>
        </w:rPr>
        <w:t>$</w:t>
      </w:r>
      <w:r w:rsidR="009636E9">
        <w:rPr>
          <w:rFonts w:ascii="Arial" w:hAnsi="Arial" w:cs="Arial"/>
        </w:rPr>
        <w:t>275,000 for heads of households</w:t>
      </w:r>
    </w:p>
    <w:p w:rsidR="009D28F9" w:rsidRPr="000005AC" w:rsidRDefault="009D28F9" w:rsidP="000005AC">
      <w:pPr>
        <w:pStyle w:val="ListParagraph"/>
        <w:numPr>
          <w:ilvl w:val="0"/>
          <w:numId w:val="16"/>
        </w:numPr>
        <w:tabs>
          <w:tab w:val="left" w:pos="6660"/>
        </w:tabs>
        <w:autoSpaceDE w:val="0"/>
        <w:autoSpaceDN w:val="0"/>
        <w:adjustRightInd w:val="0"/>
        <w:spacing w:after="120"/>
        <w:rPr>
          <w:rFonts w:ascii="Arial" w:hAnsi="Arial" w:cs="Arial"/>
        </w:rPr>
      </w:pPr>
      <w:r w:rsidRPr="000005AC">
        <w:rPr>
          <w:rFonts w:ascii="Arial" w:hAnsi="Arial" w:cs="Arial"/>
        </w:rPr>
        <w:t>$250,000 for unmarried taxpayers who are not surviving spo</w:t>
      </w:r>
      <w:r w:rsidR="009636E9">
        <w:rPr>
          <w:rFonts w:ascii="Arial" w:hAnsi="Arial" w:cs="Arial"/>
        </w:rPr>
        <w:t>uses or heads of households</w:t>
      </w:r>
    </w:p>
    <w:p w:rsidR="009D28F9" w:rsidRPr="009636E9" w:rsidRDefault="009D28F9" w:rsidP="000005AC">
      <w:pPr>
        <w:pStyle w:val="ListParagraph"/>
        <w:numPr>
          <w:ilvl w:val="0"/>
          <w:numId w:val="16"/>
        </w:numPr>
        <w:tabs>
          <w:tab w:val="left" w:pos="6660"/>
        </w:tabs>
        <w:autoSpaceDE w:val="0"/>
        <w:autoSpaceDN w:val="0"/>
        <w:adjustRightInd w:val="0"/>
        <w:spacing w:after="120"/>
        <w:rPr>
          <w:rFonts w:ascii="Arial" w:hAnsi="Arial" w:cs="Arial"/>
        </w:rPr>
      </w:pPr>
      <w:r w:rsidRPr="000005AC">
        <w:rPr>
          <w:rFonts w:ascii="Arial" w:hAnsi="Arial" w:cs="Arial"/>
        </w:rPr>
        <w:t>$150,000 for married taxpayers filing separately (equal to one-half of the amount for a joint return or surviving spouse, after any adjustment for inflation).</w:t>
      </w:r>
    </w:p>
    <w:p w:rsidR="009D28F9" w:rsidRPr="000005AC" w:rsidRDefault="009D28F9" w:rsidP="000005AC">
      <w:pPr>
        <w:tabs>
          <w:tab w:val="left" w:pos="6660"/>
        </w:tabs>
        <w:autoSpaceDE w:val="0"/>
        <w:autoSpaceDN w:val="0"/>
        <w:adjustRightInd w:val="0"/>
        <w:spacing w:after="120"/>
        <w:rPr>
          <w:rFonts w:ascii="Arial" w:hAnsi="Arial" w:cs="Arial"/>
        </w:rPr>
      </w:pPr>
      <w:r w:rsidRPr="000005AC">
        <w:rPr>
          <w:rFonts w:ascii="Arial" w:hAnsi="Arial" w:cs="Arial"/>
        </w:rPr>
        <w:lastRenderedPageBreak/>
        <w:t xml:space="preserve">Revival of the personal exemption </w:t>
      </w:r>
      <w:proofErr w:type="spellStart"/>
      <w:r w:rsidRPr="000005AC">
        <w:rPr>
          <w:rFonts w:ascii="Arial" w:hAnsi="Arial" w:cs="Arial"/>
        </w:rPr>
        <w:t>phaseout</w:t>
      </w:r>
      <w:proofErr w:type="spellEnd"/>
      <w:r w:rsidRPr="000005AC">
        <w:rPr>
          <w:rFonts w:ascii="Arial" w:hAnsi="Arial" w:cs="Arial"/>
        </w:rPr>
        <w:t xml:space="preserve"> rules reduces or eliminates the deduction for personal exemptions for higher income taxpayers. Under the personal exemption </w:t>
      </w:r>
      <w:proofErr w:type="spellStart"/>
      <w:r w:rsidRPr="000005AC">
        <w:rPr>
          <w:rFonts w:ascii="Arial" w:hAnsi="Arial" w:cs="Arial"/>
        </w:rPr>
        <w:t>phaseout</w:t>
      </w:r>
      <w:proofErr w:type="spellEnd"/>
      <w:r w:rsidRPr="000005AC">
        <w:rPr>
          <w:rFonts w:ascii="Arial" w:hAnsi="Arial" w:cs="Arial"/>
        </w:rPr>
        <w:t>, the total amount of exemptions that may be claimed</w:t>
      </w:r>
      <w:r w:rsidR="009636E9">
        <w:rPr>
          <w:rFonts w:ascii="Arial" w:hAnsi="Arial" w:cs="Arial"/>
        </w:rPr>
        <w:t xml:space="preserve"> by a taxpayer is reduced by 2</w:t>
      </w:r>
      <w:r w:rsidRPr="000005AC">
        <w:rPr>
          <w:rFonts w:ascii="Arial" w:hAnsi="Arial" w:cs="Arial"/>
        </w:rPr>
        <w:t xml:space="preserve"> percent for each $</w:t>
      </w:r>
      <w:proofErr w:type="gramStart"/>
      <w:r w:rsidRPr="000005AC">
        <w:rPr>
          <w:rFonts w:ascii="Arial" w:hAnsi="Arial" w:cs="Arial"/>
        </w:rPr>
        <w:t>2</w:t>
      </w:r>
      <w:r w:rsidR="009636E9">
        <w:rPr>
          <w:rFonts w:ascii="Arial" w:hAnsi="Arial" w:cs="Arial"/>
        </w:rPr>
        <w:t>,500,</w:t>
      </w:r>
      <w:proofErr w:type="gramEnd"/>
      <w:r w:rsidR="009636E9">
        <w:rPr>
          <w:rFonts w:ascii="Arial" w:hAnsi="Arial" w:cs="Arial"/>
        </w:rPr>
        <w:t xml:space="preserve"> or portion thereof (2</w:t>
      </w:r>
      <w:r w:rsidRPr="000005AC">
        <w:rPr>
          <w:rFonts w:ascii="Arial" w:hAnsi="Arial" w:cs="Arial"/>
        </w:rPr>
        <w:t xml:space="preserve"> percent for each $1,250 for married couples filing separate returns) by which the taxpayer's AGI exceeds the applicable threshold. The same threshold limits above apply to the personal exemption </w:t>
      </w:r>
      <w:proofErr w:type="spellStart"/>
      <w:r w:rsidRPr="000005AC">
        <w:rPr>
          <w:rFonts w:ascii="Arial" w:hAnsi="Arial" w:cs="Arial"/>
        </w:rPr>
        <w:t>phaseout</w:t>
      </w:r>
      <w:proofErr w:type="spellEnd"/>
      <w:r w:rsidRPr="000005AC">
        <w:rPr>
          <w:rFonts w:ascii="Arial" w:hAnsi="Arial" w:cs="Arial"/>
        </w:rPr>
        <w:t>.</w:t>
      </w:r>
    </w:p>
    <w:p w:rsidR="002E10A0" w:rsidRPr="000005AC" w:rsidRDefault="002E10A0" w:rsidP="000005AC">
      <w:pPr>
        <w:tabs>
          <w:tab w:val="left" w:pos="6660"/>
        </w:tabs>
        <w:autoSpaceDE w:val="0"/>
        <w:autoSpaceDN w:val="0"/>
        <w:adjustRightInd w:val="0"/>
        <w:spacing w:after="120"/>
        <w:rPr>
          <w:rFonts w:ascii="Arial" w:hAnsi="Arial" w:cs="Arial"/>
        </w:rPr>
      </w:pPr>
    </w:p>
    <w:p w:rsidR="00D51767" w:rsidRPr="000005AC" w:rsidRDefault="009A7160" w:rsidP="000005AC">
      <w:pPr>
        <w:tabs>
          <w:tab w:val="left" w:pos="6660"/>
        </w:tabs>
        <w:autoSpaceDE w:val="0"/>
        <w:autoSpaceDN w:val="0"/>
        <w:adjustRightInd w:val="0"/>
        <w:spacing w:after="120"/>
        <w:rPr>
          <w:rFonts w:ascii="Arial" w:hAnsi="Arial" w:cs="Arial"/>
          <w:b/>
          <w:bCs/>
        </w:rPr>
      </w:pPr>
      <w:r w:rsidRPr="000005AC">
        <w:rPr>
          <w:rFonts w:ascii="Arial" w:hAnsi="Arial" w:cs="Arial"/>
          <w:b/>
          <w:bCs/>
        </w:rPr>
        <w:t xml:space="preserve">Planning for </w:t>
      </w:r>
      <w:r w:rsidR="00D51767" w:rsidRPr="000005AC">
        <w:rPr>
          <w:rFonts w:ascii="Arial" w:hAnsi="Arial" w:cs="Arial"/>
          <w:b/>
          <w:bCs/>
        </w:rPr>
        <w:t>G</w:t>
      </w:r>
      <w:r w:rsidRPr="000005AC">
        <w:rPr>
          <w:rFonts w:ascii="Arial" w:hAnsi="Arial" w:cs="Arial"/>
          <w:b/>
          <w:bCs/>
        </w:rPr>
        <w:t>ifts</w:t>
      </w:r>
    </w:p>
    <w:p w:rsidR="009A7160"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 xml:space="preserve">Gift-giving is </w:t>
      </w:r>
      <w:r w:rsidR="00416046" w:rsidRPr="000005AC">
        <w:rPr>
          <w:rFonts w:ascii="Arial" w:hAnsi="Arial" w:cs="Arial"/>
        </w:rPr>
        <w:t xml:space="preserve">an </w:t>
      </w:r>
      <w:r w:rsidRPr="000005AC">
        <w:rPr>
          <w:rFonts w:ascii="Arial" w:hAnsi="Arial" w:cs="Arial"/>
        </w:rPr>
        <w:t>often overlooked year-end planning strategy. For 2013, indi</w:t>
      </w:r>
      <w:r w:rsidR="00416046" w:rsidRPr="000005AC">
        <w:rPr>
          <w:rFonts w:ascii="Arial" w:hAnsi="Arial" w:cs="Arial"/>
        </w:rPr>
        <w:t xml:space="preserve">viduals can make tax-free gifts, with </w:t>
      </w:r>
      <w:r w:rsidRPr="000005AC">
        <w:rPr>
          <w:rFonts w:ascii="Arial" w:hAnsi="Arial" w:cs="Arial"/>
        </w:rPr>
        <w:t>no tax consequences for the giver or the recipient</w:t>
      </w:r>
      <w:r w:rsidR="00416046" w:rsidRPr="000005AC">
        <w:rPr>
          <w:rFonts w:ascii="Arial" w:hAnsi="Arial" w:cs="Arial"/>
        </w:rPr>
        <w:t>,</w:t>
      </w:r>
      <w:r w:rsidRPr="000005AC">
        <w:rPr>
          <w:rFonts w:ascii="Arial" w:hAnsi="Arial" w:cs="Arial"/>
        </w:rPr>
        <w:t xml:space="preserve"> of up to $14,000 to any i</w:t>
      </w:r>
      <w:r w:rsidR="00416046" w:rsidRPr="000005AC">
        <w:rPr>
          <w:rFonts w:ascii="Arial" w:hAnsi="Arial" w:cs="Arial"/>
        </w:rPr>
        <w:t xml:space="preserve">ndividual. Married couples may </w:t>
      </w:r>
      <w:r w:rsidRPr="000005AC">
        <w:rPr>
          <w:rFonts w:ascii="Arial" w:hAnsi="Arial" w:cs="Arial"/>
        </w:rPr>
        <w:t>split</w:t>
      </w:r>
      <w:r w:rsidR="00416046" w:rsidRPr="000005AC">
        <w:rPr>
          <w:rFonts w:ascii="Arial" w:hAnsi="Arial" w:cs="Arial"/>
        </w:rPr>
        <w:t xml:space="preserve"> </w:t>
      </w:r>
      <w:r w:rsidRPr="000005AC">
        <w:rPr>
          <w:rFonts w:ascii="Arial" w:hAnsi="Arial" w:cs="Arial"/>
        </w:rPr>
        <w:t>their gifts to each recipient, which effectively raises the tax-free gift to $28,000. Gifts between spouses are always tax-free unless one spouse is not a U.S. citizen</w:t>
      </w:r>
      <w:r w:rsidR="00416046" w:rsidRPr="000005AC">
        <w:rPr>
          <w:rFonts w:ascii="Arial" w:hAnsi="Arial" w:cs="Arial"/>
        </w:rPr>
        <w:t xml:space="preserve">, in which </w:t>
      </w:r>
      <w:r w:rsidRPr="000005AC">
        <w:rPr>
          <w:rFonts w:ascii="Arial" w:hAnsi="Arial" w:cs="Arial"/>
        </w:rPr>
        <w:t>case</w:t>
      </w:r>
      <w:r w:rsidR="00416046" w:rsidRPr="000005AC">
        <w:rPr>
          <w:rFonts w:ascii="Arial" w:hAnsi="Arial" w:cs="Arial"/>
        </w:rPr>
        <w:t xml:space="preserve"> </w:t>
      </w:r>
      <w:r w:rsidRPr="000005AC">
        <w:rPr>
          <w:rFonts w:ascii="Arial" w:hAnsi="Arial" w:cs="Arial"/>
        </w:rPr>
        <w:t>the first $143,000 in gifts made in 2013 are tax-free.</w:t>
      </w:r>
    </w:p>
    <w:p w:rsidR="009A7160" w:rsidRPr="000005AC" w:rsidRDefault="00416046" w:rsidP="000005AC">
      <w:pPr>
        <w:tabs>
          <w:tab w:val="left" w:pos="6660"/>
        </w:tabs>
        <w:autoSpaceDE w:val="0"/>
        <w:autoSpaceDN w:val="0"/>
        <w:adjustRightInd w:val="0"/>
        <w:spacing w:after="120"/>
        <w:rPr>
          <w:rFonts w:ascii="Arial" w:hAnsi="Arial" w:cs="Arial"/>
        </w:rPr>
      </w:pPr>
      <w:r w:rsidRPr="000005AC">
        <w:rPr>
          <w:rFonts w:ascii="Arial" w:hAnsi="Arial" w:cs="Arial"/>
        </w:rPr>
        <w:t>S</w:t>
      </w:r>
      <w:r w:rsidR="009A7160" w:rsidRPr="000005AC">
        <w:rPr>
          <w:rFonts w:ascii="Arial" w:hAnsi="Arial" w:cs="Arial"/>
        </w:rPr>
        <w:t>pecial rules for gifts made for medical care and education can be a valuable component of a year-end tax strategy, especially for individuals who want to help a family member of friend. Monetary gifts directly to a college to pay tuition or to a medical service provider are tax-free to the person making the gift and the person benefitting from education or medical care.</w:t>
      </w:r>
    </w:p>
    <w:p w:rsidR="009A7160"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Gifts to charity also are frequently made at year</w:t>
      </w:r>
      <w:r w:rsidR="007E03B3" w:rsidRPr="000005AC">
        <w:rPr>
          <w:rFonts w:ascii="Arial" w:hAnsi="Arial" w:cs="Arial"/>
        </w:rPr>
        <w:t xml:space="preserve">’s </w:t>
      </w:r>
      <w:r w:rsidRPr="000005AC">
        <w:rPr>
          <w:rFonts w:ascii="Arial" w:hAnsi="Arial" w:cs="Arial"/>
        </w:rPr>
        <w:t>end. Through th</w:t>
      </w:r>
      <w:r w:rsidR="007E03B3" w:rsidRPr="000005AC">
        <w:rPr>
          <w:rFonts w:ascii="Arial" w:hAnsi="Arial" w:cs="Arial"/>
        </w:rPr>
        <w:t>e end of 2013, taxpayers age 70</w:t>
      </w:r>
      <w:r w:rsidRPr="000005AC">
        <w:rPr>
          <w:rFonts w:ascii="Arial" w:hAnsi="Arial" w:cs="Arial"/>
        </w:rPr>
        <w:t xml:space="preserve">½ and older can make a tax-free distribution </w:t>
      </w:r>
      <w:r w:rsidR="007E03B3" w:rsidRPr="000005AC">
        <w:rPr>
          <w:rFonts w:ascii="Arial" w:hAnsi="Arial" w:cs="Arial"/>
        </w:rPr>
        <w:t xml:space="preserve">of up to $100,000 </w:t>
      </w:r>
      <w:r w:rsidRPr="000005AC">
        <w:rPr>
          <w:rFonts w:ascii="Arial" w:hAnsi="Arial" w:cs="Arial"/>
        </w:rPr>
        <w:t>from individual retirement accounts to a charity</w:t>
      </w:r>
      <w:r w:rsidR="007E03B3" w:rsidRPr="000005AC">
        <w:rPr>
          <w:rFonts w:ascii="Arial" w:hAnsi="Arial" w:cs="Arial"/>
        </w:rPr>
        <w:t>, though</w:t>
      </w:r>
      <w:r w:rsidRPr="000005AC">
        <w:rPr>
          <w:rFonts w:ascii="Arial" w:hAnsi="Arial" w:cs="Arial"/>
        </w:rPr>
        <w:t xml:space="preserve"> Individuals taking this option cannot claim a deduction for the charitable gift.</w:t>
      </w:r>
    </w:p>
    <w:p w:rsidR="007E03B3" w:rsidRPr="000005AC" w:rsidRDefault="007E03B3" w:rsidP="000005AC">
      <w:pPr>
        <w:tabs>
          <w:tab w:val="left" w:pos="6660"/>
        </w:tabs>
        <w:autoSpaceDE w:val="0"/>
        <w:autoSpaceDN w:val="0"/>
        <w:adjustRightInd w:val="0"/>
        <w:spacing w:after="120"/>
        <w:rPr>
          <w:rFonts w:ascii="Arial" w:hAnsi="Arial" w:cs="Arial"/>
        </w:rPr>
      </w:pPr>
    </w:p>
    <w:p w:rsidR="009A7160" w:rsidRPr="000005AC" w:rsidRDefault="007E03B3" w:rsidP="000005AC">
      <w:pPr>
        <w:tabs>
          <w:tab w:val="left" w:pos="6660"/>
        </w:tabs>
        <w:autoSpaceDE w:val="0"/>
        <w:autoSpaceDN w:val="0"/>
        <w:adjustRightInd w:val="0"/>
        <w:spacing w:after="120"/>
        <w:rPr>
          <w:rFonts w:ascii="Arial" w:hAnsi="Arial" w:cs="Arial"/>
          <w:b/>
          <w:bCs/>
        </w:rPr>
      </w:pPr>
      <w:r w:rsidRPr="000005AC">
        <w:rPr>
          <w:rFonts w:ascii="Arial" w:hAnsi="Arial" w:cs="Arial"/>
          <w:b/>
          <w:bCs/>
        </w:rPr>
        <w:t>Sav</w:t>
      </w:r>
      <w:r w:rsidR="009A7160" w:rsidRPr="000005AC">
        <w:rPr>
          <w:rFonts w:ascii="Arial" w:hAnsi="Arial" w:cs="Arial"/>
          <w:b/>
          <w:bCs/>
        </w:rPr>
        <w:t xml:space="preserve">ing for </w:t>
      </w:r>
      <w:r w:rsidRPr="000005AC">
        <w:rPr>
          <w:rFonts w:ascii="Arial" w:hAnsi="Arial" w:cs="Arial"/>
          <w:b/>
          <w:bCs/>
        </w:rPr>
        <w:t>R</w:t>
      </w:r>
      <w:r w:rsidR="009A7160" w:rsidRPr="000005AC">
        <w:rPr>
          <w:rFonts w:ascii="Arial" w:hAnsi="Arial" w:cs="Arial"/>
          <w:b/>
          <w:bCs/>
        </w:rPr>
        <w:t>etirement</w:t>
      </w:r>
    </w:p>
    <w:p w:rsidR="007E03B3"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 xml:space="preserve">For 2013, contributions to an IRA </w:t>
      </w:r>
      <w:r w:rsidR="007E03B3" w:rsidRPr="000005AC">
        <w:rPr>
          <w:rFonts w:ascii="Arial" w:hAnsi="Arial" w:cs="Arial"/>
        </w:rPr>
        <w:t>max out at</w:t>
      </w:r>
      <w:r w:rsidRPr="000005AC">
        <w:rPr>
          <w:rFonts w:ascii="Arial" w:hAnsi="Arial" w:cs="Arial"/>
        </w:rPr>
        <w:t xml:space="preserve"> $5,500, with a $1,000 catch-up amount allowed for individuals over age 50. </w:t>
      </w:r>
      <w:r w:rsidR="007E03B3" w:rsidRPr="000005AC">
        <w:rPr>
          <w:rFonts w:ascii="Arial" w:hAnsi="Arial" w:cs="Arial"/>
        </w:rPr>
        <w:t>T</w:t>
      </w:r>
      <w:r w:rsidRPr="000005AC">
        <w:rPr>
          <w:rFonts w:ascii="Arial" w:hAnsi="Arial" w:cs="Arial"/>
        </w:rPr>
        <w:t>he maximum amount that can be contributed to a Roth IRA begins to decrease once a taxpayer’s adjusted gross income crosses a certain threshold.</w:t>
      </w:r>
    </w:p>
    <w:p w:rsidR="009A7160" w:rsidRPr="000005AC" w:rsidRDefault="009A7160" w:rsidP="000005AC">
      <w:pPr>
        <w:tabs>
          <w:tab w:val="left" w:pos="6660"/>
        </w:tabs>
        <w:autoSpaceDE w:val="0"/>
        <w:autoSpaceDN w:val="0"/>
        <w:adjustRightInd w:val="0"/>
        <w:spacing w:after="120"/>
        <w:rPr>
          <w:rFonts w:ascii="Arial" w:hAnsi="Arial" w:cs="Arial"/>
        </w:rPr>
      </w:pPr>
      <w:r w:rsidRPr="000005AC">
        <w:rPr>
          <w:rFonts w:ascii="Arial" w:hAnsi="Arial" w:cs="Arial"/>
        </w:rPr>
        <w:t xml:space="preserve">For example, married couples filing jointly will begin to see their contributions begin to phase out when their AGI </w:t>
      </w:r>
      <w:r w:rsidR="007E03B3" w:rsidRPr="000005AC">
        <w:rPr>
          <w:rFonts w:ascii="Arial" w:hAnsi="Arial" w:cs="Arial"/>
        </w:rPr>
        <w:t>hits</w:t>
      </w:r>
      <w:r w:rsidRPr="000005AC">
        <w:rPr>
          <w:rFonts w:ascii="Arial" w:hAnsi="Arial" w:cs="Arial"/>
        </w:rPr>
        <w:t xml:space="preserve"> $178,000. Once their AGI reaches $188,000 or more, they can no longer contribute to a Roth IRA. For single filers the corresponding income thresholds for 2013 are $112,000 and $127,000. </w:t>
      </w:r>
      <w:r w:rsidR="007E03B3" w:rsidRPr="000005AC">
        <w:rPr>
          <w:rFonts w:ascii="Arial" w:hAnsi="Arial" w:cs="Arial"/>
        </w:rPr>
        <w:t>For tax purposes, contributions for</w:t>
      </w:r>
      <w:r w:rsidRPr="000005AC">
        <w:rPr>
          <w:rFonts w:ascii="Arial" w:hAnsi="Arial" w:cs="Arial"/>
        </w:rPr>
        <w:t xml:space="preserve"> 2013 may be made until April 15, 2014.</w:t>
      </w:r>
    </w:p>
    <w:p w:rsidR="006C4DED" w:rsidRPr="000005AC" w:rsidRDefault="006C4DED" w:rsidP="000005AC">
      <w:pPr>
        <w:tabs>
          <w:tab w:val="left" w:pos="6660"/>
        </w:tabs>
        <w:autoSpaceDE w:val="0"/>
        <w:autoSpaceDN w:val="0"/>
        <w:adjustRightInd w:val="0"/>
        <w:spacing w:after="120"/>
        <w:rPr>
          <w:rFonts w:ascii="Arial" w:hAnsi="Arial" w:cs="Arial"/>
        </w:rPr>
      </w:pPr>
    </w:p>
    <w:p w:rsidR="006C4DED" w:rsidRPr="000005AC" w:rsidRDefault="006C4DED" w:rsidP="000005AC">
      <w:pPr>
        <w:tabs>
          <w:tab w:val="left" w:pos="6660"/>
        </w:tabs>
        <w:autoSpaceDE w:val="0"/>
        <w:autoSpaceDN w:val="0"/>
        <w:adjustRightInd w:val="0"/>
        <w:spacing w:after="120"/>
        <w:rPr>
          <w:rFonts w:ascii="Arial" w:hAnsi="Arial" w:cs="Arial"/>
        </w:rPr>
      </w:pPr>
    </w:p>
    <w:p w:rsidR="002E10A0" w:rsidRPr="009636E9" w:rsidRDefault="002E10A0" w:rsidP="000005AC">
      <w:pPr>
        <w:tabs>
          <w:tab w:val="left" w:pos="6660"/>
        </w:tabs>
        <w:autoSpaceDE w:val="0"/>
        <w:autoSpaceDN w:val="0"/>
        <w:adjustRightInd w:val="0"/>
        <w:spacing w:after="120"/>
        <w:rPr>
          <w:rFonts w:ascii="Arial" w:hAnsi="Arial" w:cs="Arial"/>
          <w:b/>
        </w:rPr>
      </w:pPr>
      <w:r w:rsidRPr="000005AC">
        <w:rPr>
          <w:rFonts w:ascii="Arial" w:hAnsi="Arial" w:cs="Arial"/>
          <w:b/>
          <w:bCs/>
        </w:rPr>
        <w:t>Child-Driven Benefits</w:t>
      </w:r>
    </w:p>
    <w:p w:rsidR="002E10A0" w:rsidRPr="000005AC" w:rsidRDefault="002E10A0"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bCs/>
          <w:i/>
          <w:iCs/>
        </w:rPr>
        <w:t>Adoption credit and adoption assistance programs.</w:t>
      </w:r>
      <w:proofErr w:type="gramEnd"/>
      <w:r w:rsidRPr="000005AC">
        <w:rPr>
          <w:rFonts w:ascii="Arial" w:hAnsi="Arial" w:cs="Arial"/>
        </w:rPr>
        <w:t xml:space="preserve"> Two tax provisions assist taxpayers who adopt children: a tax credit, and </w:t>
      </w:r>
      <w:proofErr w:type="gramStart"/>
      <w:r w:rsidRPr="000005AC">
        <w:rPr>
          <w:rFonts w:ascii="Arial" w:hAnsi="Arial" w:cs="Arial"/>
        </w:rPr>
        <w:t>an income</w:t>
      </w:r>
      <w:proofErr w:type="gramEnd"/>
      <w:r w:rsidRPr="000005AC">
        <w:rPr>
          <w:rFonts w:ascii="Arial" w:hAnsi="Arial" w:cs="Arial"/>
        </w:rPr>
        <w:t xml:space="preserve"> exclusion for employer-paid or reimbursed adoption expenses. Effective in 2013, the maximum </w:t>
      </w:r>
      <w:r w:rsidRPr="000005AC">
        <w:rPr>
          <w:rFonts w:ascii="Arial" w:hAnsi="Arial" w:cs="Arial"/>
        </w:rPr>
        <w:lastRenderedPageBreak/>
        <w:t>amount of the adoption credit and the income exclusion amount are made permanent. In 2013, both the maximum adoption credit and the maximum income exclusion amount are $12,970 (as adjusted for inflation).</w:t>
      </w:r>
    </w:p>
    <w:p w:rsidR="006C4DED" w:rsidRDefault="002E10A0"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bCs/>
          <w:i/>
          <w:iCs/>
        </w:rPr>
        <w:t>Child and dependent care (CDC) credit.</w:t>
      </w:r>
      <w:proofErr w:type="gramEnd"/>
      <w:r w:rsidRPr="000005AC">
        <w:rPr>
          <w:rFonts w:ascii="Arial" w:hAnsi="Arial" w:cs="Arial"/>
        </w:rPr>
        <w:t> The increased credit amounts and higher expense limits for the CDC are permanently extended. For 2013, the maximum amount of qualifying expenses to which the credit may be applied is $3,000 for individuals with one qualifying child or dependent (for a maximum credit of $1,050), or $6,000 for individuals with two or more qualifying children or dependents (for a maximum credit of $2,100). For taxpayers with AGI between $15,000 and $43,000, the 35 percent credit rate is reduced by one percentage point for each $2,000 of AGI until the credit percentage is 20 percent for taxpayers with AGI of $43,000.</w:t>
      </w:r>
    </w:p>
    <w:p w:rsidR="009636E9" w:rsidRPr="000005AC" w:rsidRDefault="009636E9" w:rsidP="000005AC">
      <w:pPr>
        <w:tabs>
          <w:tab w:val="left" w:pos="6660"/>
        </w:tabs>
        <w:autoSpaceDE w:val="0"/>
        <w:autoSpaceDN w:val="0"/>
        <w:adjustRightInd w:val="0"/>
        <w:spacing w:after="120"/>
        <w:rPr>
          <w:rFonts w:ascii="Arial" w:hAnsi="Arial" w:cs="Arial"/>
        </w:rPr>
      </w:pPr>
    </w:p>
    <w:p w:rsidR="00805C0C" w:rsidRPr="000005AC" w:rsidRDefault="00805C0C" w:rsidP="000005AC">
      <w:pPr>
        <w:tabs>
          <w:tab w:val="left" w:pos="6660"/>
        </w:tabs>
        <w:autoSpaceDE w:val="0"/>
        <w:autoSpaceDN w:val="0"/>
        <w:adjustRightInd w:val="0"/>
        <w:spacing w:after="120"/>
        <w:rPr>
          <w:rFonts w:ascii="Arial" w:hAnsi="Arial" w:cs="Arial"/>
          <w:b/>
          <w:bCs/>
        </w:rPr>
      </w:pPr>
      <w:r w:rsidRPr="000005AC">
        <w:rPr>
          <w:rFonts w:ascii="Arial" w:hAnsi="Arial" w:cs="Arial"/>
          <w:b/>
          <w:bCs/>
        </w:rPr>
        <w:t>Traditional Tax Planning</w:t>
      </w:r>
    </w:p>
    <w:p w:rsidR="006C4DED" w:rsidRPr="000005AC" w:rsidRDefault="00805C0C" w:rsidP="000005AC">
      <w:pPr>
        <w:tabs>
          <w:tab w:val="left" w:pos="6660"/>
        </w:tabs>
        <w:autoSpaceDE w:val="0"/>
        <w:autoSpaceDN w:val="0"/>
        <w:adjustRightInd w:val="0"/>
        <w:spacing w:after="120"/>
        <w:rPr>
          <w:rFonts w:ascii="Arial" w:hAnsi="Arial" w:cs="Arial"/>
        </w:rPr>
      </w:pPr>
      <w:r w:rsidRPr="000005AC">
        <w:rPr>
          <w:rFonts w:ascii="Arial" w:hAnsi="Arial" w:cs="Arial"/>
        </w:rPr>
        <w:t>As always, tax planning requires a combination of multi-layered strategies, taking into account a variety of p</w:t>
      </w:r>
      <w:r w:rsidR="006C4DED" w:rsidRPr="000005AC">
        <w:rPr>
          <w:rFonts w:ascii="Arial" w:hAnsi="Arial" w:cs="Arial"/>
        </w:rPr>
        <w:t>ossible scenarios and outcomes.</w:t>
      </w:r>
    </w:p>
    <w:p w:rsidR="00805C0C" w:rsidRPr="000005AC" w:rsidRDefault="006C4DED" w:rsidP="000005AC">
      <w:pPr>
        <w:tabs>
          <w:tab w:val="left" w:pos="6660"/>
        </w:tabs>
        <w:autoSpaceDE w:val="0"/>
        <w:autoSpaceDN w:val="0"/>
        <w:adjustRightInd w:val="0"/>
        <w:spacing w:after="120"/>
        <w:rPr>
          <w:rFonts w:ascii="Arial" w:hAnsi="Arial" w:cs="Arial"/>
        </w:rPr>
      </w:pPr>
      <w:r w:rsidRPr="000005AC">
        <w:rPr>
          <w:rFonts w:ascii="Arial" w:hAnsi="Arial" w:cs="Arial"/>
        </w:rPr>
        <w:t>I</w:t>
      </w:r>
      <w:r w:rsidR="00805C0C" w:rsidRPr="000005AC">
        <w:rPr>
          <w:rFonts w:ascii="Arial" w:hAnsi="Arial" w:cs="Arial"/>
        </w:rPr>
        <w:t>ncome deferral and deduction/credit acceleration techniques may be used to reduce an individual taxpayer’s income tax liability:</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Defer billings and collections</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Receive bonuses earned for 2013 in 2014</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Sell appreciated assets in 2014</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Offset tax losses against current gains (loss harvesting)</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Postpone the redemption of U.S. Savings Bonds</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Declare any special dividends in 2014</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Delay Roth conversions to 2014</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Defer debt forgiveness income if possible</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Minimize retirement distributions</w:t>
      </w:r>
    </w:p>
    <w:p w:rsidR="00805C0C" w:rsidRPr="000005AC"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Execute like-kind exchange transactions</w:t>
      </w:r>
    </w:p>
    <w:p w:rsidR="00805C0C" w:rsidRPr="009636E9" w:rsidRDefault="00805C0C" w:rsidP="000005AC">
      <w:pPr>
        <w:pStyle w:val="ListParagraph"/>
        <w:numPr>
          <w:ilvl w:val="0"/>
          <w:numId w:val="17"/>
        </w:numPr>
        <w:tabs>
          <w:tab w:val="left" w:pos="6660"/>
        </w:tabs>
        <w:autoSpaceDE w:val="0"/>
        <w:autoSpaceDN w:val="0"/>
        <w:adjustRightInd w:val="0"/>
        <w:spacing w:after="120"/>
        <w:rPr>
          <w:rFonts w:ascii="Arial" w:hAnsi="Arial" w:cs="Arial"/>
        </w:rPr>
      </w:pPr>
      <w:r w:rsidRPr="000005AC">
        <w:rPr>
          <w:rFonts w:ascii="Arial" w:hAnsi="Arial" w:cs="Arial"/>
        </w:rPr>
        <w:t>Take corporate liquidation distributions in 2014</w:t>
      </w:r>
    </w:p>
    <w:p w:rsidR="006C4DED" w:rsidRPr="000005AC" w:rsidRDefault="006C4DED" w:rsidP="000005AC">
      <w:pPr>
        <w:tabs>
          <w:tab w:val="left" w:pos="6660"/>
        </w:tabs>
        <w:autoSpaceDE w:val="0"/>
        <w:autoSpaceDN w:val="0"/>
        <w:adjustRightInd w:val="0"/>
        <w:spacing w:after="120"/>
        <w:rPr>
          <w:rFonts w:ascii="Arial" w:hAnsi="Arial" w:cs="Arial"/>
        </w:rPr>
      </w:pPr>
      <w:r w:rsidRPr="000005AC">
        <w:rPr>
          <w:rFonts w:ascii="Arial" w:hAnsi="Arial" w:cs="Arial"/>
        </w:rPr>
        <w:t>Deduction/credit acceleration techniques:</w:t>
      </w:r>
    </w:p>
    <w:p w:rsidR="009A7160" w:rsidRPr="000005AC" w:rsidRDefault="009A7160" w:rsidP="000005AC">
      <w:pPr>
        <w:pStyle w:val="ListParagraph"/>
        <w:numPr>
          <w:ilvl w:val="0"/>
          <w:numId w:val="21"/>
        </w:numPr>
        <w:tabs>
          <w:tab w:val="left" w:pos="6660"/>
        </w:tabs>
        <w:autoSpaceDE w:val="0"/>
        <w:autoSpaceDN w:val="0"/>
        <w:adjustRightInd w:val="0"/>
        <w:spacing w:after="120"/>
        <w:rPr>
          <w:rFonts w:ascii="Arial" w:hAnsi="Arial" w:cs="Arial"/>
        </w:rPr>
      </w:pPr>
      <w:r w:rsidRPr="000005AC">
        <w:rPr>
          <w:rFonts w:ascii="Arial" w:hAnsi="Arial" w:cs="Arial"/>
        </w:rPr>
        <w:t>Bunch itemized deductions into 2013/Standard deduction into 2014</w:t>
      </w:r>
    </w:p>
    <w:p w:rsidR="009A7160" w:rsidRPr="000005AC" w:rsidRDefault="009A7160" w:rsidP="000005AC">
      <w:pPr>
        <w:pStyle w:val="ListParagraph"/>
        <w:numPr>
          <w:ilvl w:val="0"/>
          <w:numId w:val="21"/>
        </w:numPr>
        <w:tabs>
          <w:tab w:val="left" w:pos="6660"/>
        </w:tabs>
        <w:autoSpaceDE w:val="0"/>
        <w:autoSpaceDN w:val="0"/>
        <w:adjustRightInd w:val="0"/>
        <w:spacing w:after="120"/>
        <w:rPr>
          <w:rFonts w:ascii="Arial" w:hAnsi="Arial" w:cs="Arial"/>
        </w:rPr>
      </w:pPr>
      <w:r w:rsidRPr="000005AC">
        <w:rPr>
          <w:rFonts w:ascii="Arial" w:hAnsi="Arial" w:cs="Arial"/>
        </w:rPr>
        <w:t>Accelerate bill payments into 2013</w:t>
      </w:r>
    </w:p>
    <w:p w:rsidR="009A7160" w:rsidRPr="000005AC" w:rsidRDefault="009A7160" w:rsidP="000005AC">
      <w:pPr>
        <w:pStyle w:val="ListParagraph"/>
        <w:numPr>
          <w:ilvl w:val="0"/>
          <w:numId w:val="21"/>
        </w:numPr>
        <w:tabs>
          <w:tab w:val="left" w:pos="6660"/>
        </w:tabs>
        <w:autoSpaceDE w:val="0"/>
        <w:autoSpaceDN w:val="0"/>
        <w:adjustRightInd w:val="0"/>
        <w:spacing w:after="120"/>
        <w:rPr>
          <w:rFonts w:ascii="Arial" w:hAnsi="Arial" w:cs="Arial"/>
        </w:rPr>
      </w:pPr>
      <w:r w:rsidRPr="000005AC">
        <w:rPr>
          <w:rFonts w:ascii="Arial" w:hAnsi="Arial" w:cs="Arial"/>
        </w:rPr>
        <w:t>Pay last state estimated tax installment in 2013 instead of 2014</w:t>
      </w:r>
    </w:p>
    <w:p w:rsidR="009A7160" w:rsidRPr="000005AC" w:rsidRDefault="009A7160" w:rsidP="000005AC">
      <w:pPr>
        <w:pStyle w:val="ListParagraph"/>
        <w:numPr>
          <w:ilvl w:val="0"/>
          <w:numId w:val="21"/>
        </w:numPr>
        <w:tabs>
          <w:tab w:val="left" w:pos="6660"/>
        </w:tabs>
        <w:autoSpaceDE w:val="0"/>
        <w:autoSpaceDN w:val="0"/>
        <w:adjustRightInd w:val="0"/>
        <w:spacing w:after="120"/>
        <w:rPr>
          <w:rFonts w:ascii="Arial" w:hAnsi="Arial" w:cs="Arial"/>
        </w:rPr>
      </w:pPr>
      <w:r w:rsidRPr="000005AC">
        <w:rPr>
          <w:rFonts w:ascii="Arial" w:hAnsi="Arial" w:cs="Arial"/>
        </w:rPr>
        <w:t>Minimize the effect of  AGI limitations on deductions/credits</w:t>
      </w:r>
    </w:p>
    <w:p w:rsidR="009A7160" w:rsidRPr="000005AC" w:rsidRDefault="009A7160" w:rsidP="000005AC">
      <w:pPr>
        <w:pStyle w:val="ListParagraph"/>
        <w:numPr>
          <w:ilvl w:val="0"/>
          <w:numId w:val="21"/>
        </w:numPr>
        <w:tabs>
          <w:tab w:val="left" w:pos="6660"/>
        </w:tabs>
        <w:autoSpaceDE w:val="0"/>
        <w:autoSpaceDN w:val="0"/>
        <w:adjustRightInd w:val="0"/>
        <w:spacing w:after="120"/>
        <w:rPr>
          <w:rFonts w:ascii="Arial" w:hAnsi="Arial" w:cs="Arial"/>
        </w:rPr>
      </w:pPr>
      <w:r w:rsidRPr="000005AC">
        <w:rPr>
          <w:rFonts w:ascii="Arial" w:hAnsi="Arial" w:cs="Arial"/>
        </w:rPr>
        <w:t>Maximize net investment interest deductions</w:t>
      </w:r>
    </w:p>
    <w:p w:rsidR="006C4DED" w:rsidRPr="009636E9" w:rsidRDefault="009A7160" w:rsidP="000005AC">
      <w:pPr>
        <w:pStyle w:val="ListParagraph"/>
        <w:numPr>
          <w:ilvl w:val="0"/>
          <w:numId w:val="21"/>
        </w:numPr>
        <w:tabs>
          <w:tab w:val="left" w:pos="6660"/>
        </w:tabs>
        <w:autoSpaceDE w:val="0"/>
        <w:autoSpaceDN w:val="0"/>
        <w:adjustRightInd w:val="0"/>
        <w:spacing w:after="120"/>
        <w:rPr>
          <w:rFonts w:ascii="Arial" w:hAnsi="Arial" w:cs="Arial"/>
        </w:rPr>
      </w:pPr>
      <w:r w:rsidRPr="000005AC">
        <w:rPr>
          <w:rFonts w:ascii="Arial" w:hAnsi="Arial" w:cs="Arial"/>
        </w:rPr>
        <w:t>Match passive activity income and losses</w:t>
      </w:r>
    </w:p>
    <w:p w:rsidR="000005AC" w:rsidRDefault="00836E8A" w:rsidP="000005AC">
      <w:pPr>
        <w:tabs>
          <w:tab w:val="left" w:pos="6660"/>
        </w:tabs>
        <w:autoSpaceDE w:val="0"/>
        <w:autoSpaceDN w:val="0"/>
        <w:adjustRightInd w:val="0"/>
        <w:spacing w:after="120"/>
        <w:rPr>
          <w:rFonts w:ascii="Arial" w:hAnsi="Arial" w:cs="Arial"/>
        </w:rPr>
      </w:pPr>
      <w:proofErr w:type="gramStart"/>
      <w:r w:rsidRPr="000005AC">
        <w:rPr>
          <w:rFonts w:ascii="Arial" w:hAnsi="Arial" w:cs="Arial"/>
        </w:rPr>
        <w:t xml:space="preserve">For more information and to locate an accountant in your area, visit </w:t>
      </w:r>
      <w:hyperlink r:id="rId7" w:history="1">
        <w:r w:rsidRPr="000005AC">
          <w:rPr>
            <w:rStyle w:val="Hyperlink"/>
            <w:rFonts w:ascii="Arial" w:hAnsi="Arial" w:cs="Arial"/>
          </w:rPr>
          <w:t>www.nsacct.org</w:t>
        </w:r>
      </w:hyperlink>
      <w:r w:rsidRPr="000005AC">
        <w:rPr>
          <w:rFonts w:ascii="Arial" w:hAnsi="Arial" w:cs="Arial"/>
        </w:rPr>
        <w:t>.</w:t>
      </w:r>
      <w:proofErr w:type="gramEnd"/>
      <w:r w:rsidR="00283142" w:rsidRPr="000005AC">
        <w:rPr>
          <w:rFonts w:ascii="Arial" w:hAnsi="Arial" w:cs="Arial"/>
        </w:rPr>
        <w:t xml:space="preserve"> For more information about CCH, visit </w:t>
      </w:r>
      <w:hyperlink r:id="rId8" w:history="1">
        <w:r w:rsidR="000005AC" w:rsidRPr="00C17061">
          <w:rPr>
            <w:rStyle w:val="Hyperlink"/>
            <w:rFonts w:ascii="Arial" w:hAnsi="Arial" w:cs="Arial"/>
          </w:rPr>
          <w:t>www.tax.cchgroup.com</w:t>
        </w:r>
      </w:hyperlink>
      <w:r w:rsidR="00F249EF" w:rsidRPr="000005AC">
        <w:rPr>
          <w:rFonts w:ascii="Arial" w:hAnsi="Arial" w:cs="Arial"/>
        </w:rPr>
        <w:t>.</w:t>
      </w:r>
    </w:p>
    <w:p w:rsidR="000229F3" w:rsidRPr="000005AC" w:rsidRDefault="000229F3" w:rsidP="000005AC">
      <w:pPr>
        <w:tabs>
          <w:tab w:val="left" w:pos="6660"/>
        </w:tabs>
        <w:autoSpaceDE w:val="0"/>
        <w:autoSpaceDN w:val="0"/>
        <w:adjustRightInd w:val="0"/>
        <w:spacing w:after="120"/>
        <w:rPr>
          <w:rFonts w:ascii="Arial" w:hAnsi="Arial" w:cs="Arial"/>
        </w:rPr>
      </w:pPr>
    </w:p>
    <w:p w:rsidR="004260F6" w:rsidRPr="000005AC" w:rsidRDefault="00CC43D1" w:rsidP="000005AC">
      <w:pPr>
        <w:pStyle w:val="HTMLPreformatted"/>
        <w:tabs>
          <w:tab w:val="left" w:pos="6660"/>
        </w:tabs>
        <w:spacing w:after="120"/>
        <w:jc w:val="center"/>
        <w:rPr>
          <w:rFonts w:ascii="Arial" w:hAnsi="Arial" w:cs="Arial"/>
          <w:sz w:val="24"/>
          <w:szCs w:val="24"/>
        </w:rPr>
      </w:pPr>
      <w:r w:rsidRPr="000005AC">
        <w:rPr>
          <w:rFonts w:ascii="Arial" w:hAnsi="Arial" w:cs="Arial"/>
          <w:sz w:val="24"/>
          <w:szCs w:val="24"/>
        </w:rPr>
        <w:t># # #</w:t>
      </w:r>
    </w:p>
    <w:p w:rsidR="000229F3" w:rsidRDefault="000229F3" w:rsidP="000229F3">
      <w:pPr>
        <w:spacing w:after="240"/>
        <w:rPr>
          <w:rFonts w:ascii="Arial" w:hAnsi="Arial" w:cs="Arial"/>
        </w:rPr>
      </w:pPr>
    </w:p>
    <w:p w:rsidR="000229F3" w:rsidRDefault="000229F3" w:rsidP="000229F3">
      <w:pPr>
        <w:spacing w:after="240"/>
        <w:rPr>
          <w:rFonts w:ascii="Arial" w:hAnsi="Arial" w:cs="Arial"/>
        </w:rPr>
      </w:pPr>
      <w:r>
        <w:rPr>
          <w:rFonts w:ascii="Arial" w:hAnsi="Arial" w:cs="Arial"/>
        </w:rPr>
        <w:t xml:space="preserve">NSA and its affiliates represent more than 10,000 members who provide accounting, auditing, tax preparation, financial and estate planning, and management services to approximately 19 million individuals and business clients. Most members are sole practitioners or partners in small- to medium- size accounting firms. NSA protects the public by requiring its members to adhere to a strict code of ethics. For more information, visit </w:t>
      </w:r>
      <w:hyperlink r:id="rId9" w:history="1">
        <w:r>
          <w:rPr>
            <w:rStyle w:val="Hyperlink"/>
            <w:rFonts w:ascii="Arial" w:hAnsi="Arial" w:cs="Arial"/>
          </w:rPr>
          <w:t>www.nsacct.org</w:t>
        </w:r>
      </w:hyperlink>
      <w:r>
        <w:rPr>
          <w:rFonts w:ascii="Arial" w:hAnsi="Arial" w:cs="Arial"/>
        </w:rPr>
        <w:t>.</w:t>
      </w:r>
    </w:p>
    <w:p w:rsidR="009636E9" w:rsidRPr="000005AC" w:rsidRDefault="009636E9" w:rsidP="009636E9">
      <w:pPr>
        <w:tabs>
          <w:tab w:val="left" w:pos="6660"/>
        </w:tabs>
        <w:autoSpaceDE w:val="0"/>
        <w:autoSpaceDN w:val="0"/>
        <w:adjustRightInd w:val="0"/>
        <w:spacing w:after="120"/>
        <w:rPr>
          <w:rFonts w:ascii="Arial" w:hAnsi="Arial" w:cs="Arial"/>
        </w:rPr>
      </w:pPr>
    </w:p>
    <w:p w:rsidR="007949D3" w:rsidRDefault="007949D3" w:rsidP="000005AC">
      <w:pPr>
        <w:pStyle w:val="HTMLPreformatted"/>
        <w:spacing w:after="120"/>
        <w:jc w:val="center"/>
        <w:rPr>
          <w:rFonts w:ascii="Arial" w:hAnsi="Arial" w:cs="Arial"/>
          <w:sz w:val="28"/>
          <w:szCs w:val="28"/>
        </w:rPr>
      </w:pPr>
    </w:p>
    <w:sectPr w:rsidR="00794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6EA"/>
    <w:multiLevelType w:val="hybridMultilevel"/>
    <w:tmpl w:val="53C40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D4956"/>
    <w:multiLevelType w:val="hybridMultilevel"/>
    <w:tmpl w:val="7ABE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403BE"/>
    <w:multiLevelType w:val="hybridMultilevel"/>
    <w:tmpl w:val="654C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16CDD"/>
    <w:multiLevelType w:val="hybridMultilevel"/>
    <w:tmpl w:val="52889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71804"/>
    <w:multiLevelType w:val="hybridMultilevel"/>
    <w:tmpl w:val="422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5333E"/>
    <w:multiLevelType w:val="hybridMultilevel"/>
    <w:tmpl w:val="F9C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4489B"/>
    <w:multiLevelType w:val="hybridMultilevel"/>
    <w:tmpl w:val="4E40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E29E2"/>
    <w:multiLevelType w:val="hybridMultilevel"/>
    <w:tmpl w:val="F4F4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F7BC8"/>
    <w:multiLevelType w:val="hybridMultilevel"/>
    <w:tmpl w:val="AE102AC2"/>
    <w:lvl w:ilvl="0" w:tplc="409ADFFE">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9C776E9"/>
    <w:multiLevelType w:val="hybridMultilevel"/>
    <w:tmpl w:val="207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97956"/>
    <w:multiLevelType w:val="hybridMultilevel"/>
    <w:tmpl w:val="59E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37C64"/>
    <w:multiLevelType w:val="hybridMultilevel"/>
    <w:tmpl w:val="D90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21A3C"/>
    <w:multiLevelType w:val="hybridMultilevel"/>
    <w:tmpl w:val="35A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65814"/>
    <w:multiLevelType w:val="multilevel"/>
    <w:tmpl w:val="8A74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1003A"/>
    <w:multiLevelType w:val="hybridMultilevel"/>
    <w:tmpl w:val="DB5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D7DD7"/>
    <w:multiLevelType w:val="hybridMultilevel"/>
    <w:tmpl w:val="06646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4F3724"/>
    <w:multiLevelType w:val="hybridMultilevel"/>
    <w:tmpl w:val="5ED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05737"/>
    <w:multiLevelType w:val="hybridMultilevel"/>
    <w:tmpl w:val="400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902D8"/>
    <w:multiLevelType w:val="hybridMultilevel"/>
    <w:tmpl w:val="96D0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F31938"/>
    <w:multiLevelType w:val="hybridMultilevel"/>
    <w:tmpl w:val="30626E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491D70"/>
    <w:multiLevelType w:val="hybridMultilevel"/>
    <w:tmpl w:val="0CA6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18"/>
  </w:num>
  <w:num w:numId="5">
    <w:abstractNumId w:val="3"/>
  </w:num>
  <w:num w:numId="6">
    <w:abstractNumId w:val="19"/>
  </w:num>
  <w:num w:numId="7">
    <w:abstractNumId w:val="0"/>
  </w:num>
  <w:num w:numId="8">
    <w:abstractNumId w:val="8"/>
  </w:num>
  <w:num w:numId="9">
    <w:abstractNumId w:val="20"/>
  </w:num>
  <w:num w:numId="10">
    <w:abstractNumId w:val="14"/>
  </w:num>
  <w:num w:numId="11">
    <w:abstractNumId w:val="11"/>
  </w:num>
  <w:num w:numId="12">
    <w:abstractNumId w:val="4"/>
  </w:num>
  <w:num w:numId="13">
    <w:abstractNumId w:val="13"/>
  </w:num>
  <w:num w:numId="14">
    <w:abstractNumId w:val="7"/>
  </w:num>
  <w:num w:numId="15">
    <w:abstractNumId w:val="12"/>
  </w:num>
  <w:num w:numId="16">
    <w:abstractNumId w:val="16"/>
  </w:num>
  <w:num w:numId="17">
    <w:abstractNumId w:val="5"/>
  </w:num>
  <w:num w:numId="18">
    <w:abstractNumId w:val="10"/>
  </w:num>
  <w:num w:numId="19">
    <w:abstractNumId w:val="1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F6"/>
    <w:rsid w:val="000005AC"/>
    <w:rsid w:val="000229F3"/>
    <w:rsid w:val="000431A8"/>
    <w:rsid w:val="00043F0C"/>
    <w:rsid w:val="000504CE"/>
    <w:rsid w:val="00052681"/>
    <w:rsid w:val="00071F64"/>
    <w:rsid w:val="00072271"/>
    <w:rsid w:val="00072AED"/>
    <w:rsid w:val="00077ACD"/>
    <w:rsid w:val="0008028C"/>
    <w:rsid w:val="000B0D83"/>
    <w:rsid w:val="000B223A"/>
    <w:rsid w:val="000B648F"/>
    <w:rsid w:val="000C3349"/>
    <w:rsid w:val="000F4A8D"/>
    <w:rsid w:val="001257DF"/>
    <w:rsid w:val="00192B51"/>
    <w:rsid w:val="00225468"/>
    <w:rsid w:val="00243F0C"/>
    <w:rsid w:val="00263E62"/>
    <w:rsid w:val="002716B2"/>
    <w:rsid w:val="00277F2B"/>
    <w:rsid w:val="00283142"/>
    <w:rsid w:val="0029515C"/>
    <w:rsid w:val="002B6214"/>
    <w:rsid w:val="002B76C4"/>
    <w:rsid w:val="002E10A0"/>
    <w:rsid w:val="002E4C01"/>
    <w:rsid w:val="00301E48"/>
    <w:rsid w:val="00306019"/>
    <w:rsid w:val="00306E4A"/>
    <w:rsid w:val="00311D3E"/>
    <w:rsid w:val="00323E57"/>
    <w:rsid w:val="00356962"/>
    <w:rsid w:val="003E75BC"/>
    <w:rsid w:val="00416046"/>
    <w:rsid w:val="004260F6"/>
    <w:rsid w:val="004328FF"/>
    <w:rsid w:val="00436353"/>
    <w:rsid w:val="004A04B9"/>
    <w:rsid w:val="004D1FCB"/>
    <w:rsid w:val="004E3A29"/>
    <w:rsid w:val="00500CA5"/>
    <w:rsid w:val="005263D8"/>
    <w:rsid w:val="0054473C"/>
    <w:rsid w:val="00544F24"/>
    <w:rsid w:val="005527BF"/>
    <w:rsid w:val="00556BB9"/>
    <w:rsid w:val="005A6A51"/>
    <w:rsid w:val="005B1B5F"/>
    <w:rsid w:val="005C1AD5"/>
    <w:rsid w:val="005E3973"/>
    <w:rsid w:val="00600895"/>
    <w:rsid w:val="0062773C"/>
    <w:rsid w:val="00650339"/>
    <w:rsid w:val="006606B3"/>
    <w:rsid w:val="00691262"/>
    <w:rsid w:val="00693981"/>
    <w:rsid w:val="006C4DED"/>
    <w:rsid w:val="007068E7"/>
    <w:rsid w:val="007126FE"/>
    <w:rsid w:val="007145B8"/>
    <w:rsid w:val="007204D0"/>
    <w:rsid w:val="00734C94"/>
    <w:rsid w:val="00772C8B"/>
    <w:rsid w:val="0077303F"/>
    <w:rsid w:val="007949D3"/>
    <w:rsid w:val="007A5EF6"/>
    <w:rsid w:val="007D4C34"/>
    <w:rsid w:val="007E03B3"/>
    <w:rsid w:val="007F40D8"/>
    <w:rsid w:val="00805C0C"/>
    <w:rsid w:val="008238A9"/>
    <w:rsid w:val="00824C87"/>
    <w:rsid w:val="00836E8A"/>
    <w:rsid w:val="008B137E"/>
    <w:rsid w:val="008E51E2"/>
    <w:rsid w:val="008F3BAD"/>
    <w:rsid w:val="00940E82"/>
    <w:rsid w:val="00954C60"/>
    <w:rsid w:val="009636E9"/>
    <w:rsid w:val="00981C6E"/>
    <w:rsid w:val="00991B04"/>
    <w:rsid w:val="009A2FCD"/>
    <w:rsid w:val="009A7160"/>
    <w:rsid w:val="009D28F9"/>
    <w:rsid w:val="009D6366"/>
    <w:rsid w:val="00A2545F"/>
    <w:rsid w:val="00A34186"/>
    <w:rsid w:val="00A37DBB"/>
    <w:rsid w:val="00A41380"/>
    <w:rsid w:val="00A54476"/>
    <w:rsid w:val="00A65FD7"/>
    <w:rsid w:val="00A7347A"/>
    <w:rsid w:val="00AB437D"/>
    <w:rsid w:val="00AB6134"/>
    <w:rsid w:val="00AE4569"/>
    <w:rsid w:val="00B118B2"/>
    <w:rsid w:val="00B5735E"/>
    <w:rsid w:val="00B94068"/>
    <w:rsid w:val="00BC51B9"/>
    <w:rsid w:val="00BE78F3"/>
    <w:rsid w:val="00C4297F"/>
    <w:rsid w:val="00C45D0D"/>
    <w:rsid w:val="00C63837"/>
    <w:rsid w:val="00C8537E"/>
    <w:rsid w:val="00C94621"/>
    <w:rsid w:val="00CA3EE2"/>
    <w:rsid w:val="00CC43D1"/>
    <w:rsid w:val="00CE312E"/>
    <w:rsid w:val="00CE57D8"/>
    <w:rsid w:val="00CF04A5"/>
    <w:rsid w:val="00D51767"/>
    <w:rsid w:val="00D57AC9"/>
    <w:rsid w:val="00D81D19"/>
    <w:rsid w:val="00D84BCA"/>
    <w:rsid w:val="00D867AF"/>
    <w:rsid w:val="00D916CC"/>
    <w:rsid w:val="00DA303B"/>
    <w:rsid w:val="00DC0031"/>
    <w:rsid w:val="00DC0962"/>
    <w:rsid w:val="00E21165"/>
    <w:rsid w:val="00E93809"/>
    <w:rsid w:val="00EC74F5"/>
    <w:rsid w:val="00ED1FF7"/>
    <w:rsid w:val="00EE1E4D"/>
    <w:rsid w:val="00EE2BC6"/>
    <w:rsid w:val="00EF1125"/>
    <w:rsid w:val="00F1061C"/>
    <w:rsid w:val="00F206BB"/>
    <w:rsid w:val="00F249EF"/>
    <w:rsid w:val="00F36CAE"/>
    <w:rsid w:val="00F7388E"/>
    <w:rsid w:val="00FA09DC"/>
    <w:rsid w:val="00FB377A"/>
    <w:rsid w:val="00FB535A"/>
    <w:rsid w:val="00F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2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260F6"/>
    <w:rPr>
      <w:color w:val="0000FF"/>
      <w:u w:val="single"/>
    </w:rPr>
  </w:style>
  <w:style w:type="paragraph" w:styleId="BodyText">
    <w:name w:val="Body Text"/>
    <w:basedOn w:val="Normal"/>
    <w:rsid w:val="00CC43D1"/>
    <w:pPr>
      <w:tabs>
        <w:tab w:val="left" w:pos="-1080"/>
        <w:tab w:val="left" w:pos="540"/>
        <w:tab w:val="left" w:pos="1620"/>
      </w:tabs>
      <w:spacing w:line="360" w:lineRule="auto"/>
    </w:pPr>
    <w:rPr>
      <w:szCs w:val="20"/>
    </w:rPr>
  </w:style>
  <w:style w:type="character" w:styleId="FollowedHyperlink">
    <w:name w:val="FollowedHyperlink"/>
    <w:rsid w:val="00A2545F"/>
    <w:rPr>
      <w:color w:val="800080"/>
      <w:u w:val="single"/>
    </w:rPr>
  </w:style>
  <w:style w:type="paragraph" w:styleId="BalloonText">
    <w:name w:val="Balloon Text"/>
    <w:basedOn w:val="Normal"/>
    <w:link w:val="BalloonTextChar"/>
    <w:rsid w:val="00225468"/>
    <w:rPr>
      <w:rFonts w:ascii="Tahoma" w:hAnsi="Tahoma" w:cs="Tahoma"/>
      <w:sz w:val="16"/>
      <w:szCs w:val="16"/>
    </w:rPr>
  </w:style>
  <w:style w:type="character" w:customStyle="1" w:styleId="BalloonTextChar">
    <w:name w:val="Balloon Text Char"/>
    <w:basedOn w:val="DefaultParagraphFont"/>
    <w:link w:val="BalloonText"/>
    <w:rsid w:val="00225468"/>
    <w:rPr>
      <w:rFonts w:ascii="Tahoma" w:hAnsi="Tahoma" w:cs="Tahoma"/>
      <w:sz w:val="16"/>
      <w:szCs w:val="16"/>
    </w:rPr>
  </w:style>
  <w:style w:type="paragraph" w:styleId="ListParagraph">
    <w:name w:val="List Paragraph"/>
    <w:basedOn w:val="Normal"/>
    <w:uiPriority w:val="34"/>
    <w:qFormat/>
    <w:rsid w:val="00043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2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260F6"/>
    <w:rPr>
      <w:color w:val="0000FF"/>
      <w:u w:val="single"/>
    </w:rPr>
  </w:style>
  <w:style w:type="paragraph" w:styleId="BodyText">
    <w:name w:val="Body Text"/>
    <w:basedOn w:val="Normal"/>
    <w:rsid w:val="00CC43D1"/>
    <w:pPr>
      <w:tabs>
        <w:tab w:val="left" w:pos="-1080"/>
        <w:tab w:val="left" w:pos="540"/>
        <w:tab w:val="left" w:pos="1620"/>
      </w:tabs>
      <w:spacing w:line="360" w:lineRule="auto"/>
    </w:pPr>
    <w:rPr>
      <w:szCs w:val="20"/>
    </w:rPr>
  </w:style>
  <w:style w:type="character" w:styleId="FollowedHyperlink">
    <w:name w:val="FollowedHyperlink"/>
    <w:rsid w:val="00A2545F"/>
    <w:rPr>
      <w:color w:val="800080"/>
      <w:u w:val="single"/>
    </w:rPr>
  </w:style>
  <w:style w:type="paragraph" w:styleId="BalloonText">
    <w:name w:val="Balloon Text"/>
    <w:basedOn w:val="Normal"/>
    <w:link w:val="BalloonTextChar"/>
    <w:rsid w:val="00225468"/>
    <w:rPr>
      <w:rFonts w:ascii="Tahoma" w:hAnsi="Tahoma" w:cs="Tahoma"/>
      <w:sz w:val="16"/>
      <w:szCs w:val="16"/>
    </w:rPr>
  </w:style>
  <w:style w:type="character" w:customStyle="1" w:styleId="BalloonTextChar">
    <w:name w:val="Balloon Text Char"/>
    <w:basedOn w:val="DefaultParagraphFont"/>
    <w:link w:val="BalloonText"/>
    <w:rsid w:val="00225468"/>
    <w:rPr>
      <w:rFonts w:ascii="Tahoma" w:hAnsi="Tahoma" w:cs="Tahoma"/>
      <w:sz w:val="16"/>
      <w:szCs w:val="16"/>
    </w:rPr>
  </w:style>
  <w:style w:type="paragraph" w:styleId="ListParagraph">
    <w:name w:val="List Paragraph"/>
    <w:basedOn w:val="Normal"/>
    <w:uiPriority w:val="34"/>
    <w:qFormat/>
    <w:rsid w:val="0004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635">
      <w:bodyDiv w:val="1"/>
      <w:marLeft w:val="0"/>
      <w:marRight w:val="0"/>
      <w:marTop w:val="0"/>
      <w:marBottom w:val="0"/>
      <w:divBdr>
        <w:top w:val="none" w:sz="0" w:space="0" w:color="auto"/>
        <w:left w:val="none" w:sz="0" w:space="0" w:color="auto"/>
        <w:bottom w:val="none" w:sz="0" w:space="0" w:color="auto"/>
        <w:right w:val="none" w:sz="0" w:space="0" w:color="auto"/>
      </w:divBdr>
    </w:div>
    <w:div w:id="379866666">
      <w:bodyDiv w:val="1"/>
      <w:marLeft w:val="0"/>
      <w:marRight w:val="0"/>
      <w:marTop w:val="0"/>
      <w:marBottom w:val="0"/>
      <w:divBdr>
        <w:top w:val="none" w:sz="0" w:space="0" w:color="auto"/>
        <w:left w:val="none" w:sz="0" w:space="0" w:color="auto"/>
        <w:bottom w:val="none" w:sz="0" w:space="0" w:color="auto"/>
        <w:right w:val="none" w:sz="0" w:space="0" w:color="auto"/>
      </w:divBdr>
    </w:div>
    <w:div w:id="525212493">
      <w:bodyDiv w:val="1"/>
      <w:marLeft w:val="0"/>
      <w:marRight w:val="0"/>
      <w:marTop w:val="0"/>
      <w:marBottom w:val="0"/>
      <w:divBdr>
        <w:top w:val="none" w:sz="0" w:space="0" w:color="auto"/>
        <w:left w:val="none" w:sz="0" w:space="0" w:color="auto"/>
        <w:bottom w:val="none" w:sz="0" w:space="0" w:color="auto"/>
        <w:right w:val="none" w:sz="0" w:space="0" w:color="auto"/>
      </w:divBdr>
    </w:div>
    <w:div w:id="1036127589">
      <w:bodyDiv w:val="1"/>
      <w:marLeft w:val="0"/>
      <w:marRight w:val="0"/>
      <w:marTop w:val="0"/>
      <w:marBottom w:val="0"/>
      <w:divBdr>
        <w:top w:val="none" w:sz="0" w:space="0" w:color="auto"/>
        <w:left w:val="none" w:sz="0" w:space="0" w:color="auto"/>
        <w:bottom w:val="none" w:sz="0" w:space="0" w:color="auto"/>
        <w:right w:val="none" w:sz="0" w:space="0" w:color="auto"/>
      </w:divBdr>
    </w:div>
    <w:div w:id="1140533320">
      <w:bodyDiv w:val="1"/>
      <w:marLeft w:val="0"/>
      <w:marRight w:val="0"/>
      <w:marTop w:val="0"/>
      <w:marBottom w:val="0"/>
      <w:divBdr>
        <w:top w:val="none" w:sz="0" w:space="0" w:color="auto"/>
        <w:left w:val="none" w:sz="0" w:space="0" w:color="auto"/>
        <w:bottom w:val="none" w:sz="0" w:space="0" w:color="auto"/>
        <w:right w:val="none" w:sz="0" w:space="0" w:color="auto"/>
      </w:divBdr>
    </w:div>
    <w:div w:id="1357466562">
      <w:bodyDiv w:val="1"/>
      <w:marLeft w:val="0"/>
      <w:marRight w:val="0"/>
      <w:marTop w:val="0"/>
      <w:marBottom w:val="0"/>
      <w:divBdr>
        <w:top w:val="none" w:sz="0" w:space="0" w:color="auto"/>
        <w:left w:val="none" w:sz="0" w:space="0" w:color="auto"/>
        <w:bottom w:val="none" w:sz="0" w:space="0" w:color="auto"/>
        <w:right w:val="none" w:sz="0" w:space="0" w:color="auto"/>
      </w:divBdr>
    </w:div>
    <w:div w:id="1474718004">
      <w:bodyDiv w:val="1"/>
      <w:marLeft w:val="0"/>
      <w:marRight w:val="0"/>
      <w:marTop w:val="0"/>
      <w:marBottom w:val="0"/>
      <w:divBdr>
        <w:top w:val="none" w:sz="0" w:space="0" w:color="auto"/>
        <w:left w:val="none" w:sz="0" w:space="0" w:color="auto"/>
        <w:bottom w:val="none" w:sz="0" w:space="0" w:color="auto"/>
        <w:right w:val="none" w:sz="0" w:space="0" w:color="auto"/>
      </w:divBdr>
    </w:div>
    <w:div w:id="1853688668">
      <w:bodyDiv w:val="1"/>
      <w:marLeft w:val="0"/>
      <w:marRight w:val="0"/>
      <w:marTop w:val="0"/>
      <w:marBottom w:val="0"/>
      <w:divBdr>
        <w:top w:val="none" w:sz="0" w:space="0" w:color="auto"/>
        <w:left w:val="none" w:sz="0" w:space="0" w:color="auto"/>
        <w:bottom w:val="none" w:sz="0" w:space="0" w:color="auto"/>
        <w:right w:val="none" w:sz="0" w:space="0" w:color="auto"/>
      </w:divBdr>
    </w:div>
    <w:div w:id="19895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cchgroup.com" TargetMode="External"/><Relationship Id="rId3" Type="http://schemas.microsoft.com/office/2007/relationships/stylesWithEffects" Target="stylesWithEffects.xml"/><Relationship Id="rId7" Type="http://schemas.openxmlformats.org/officeDocument/2006/relationships/hyperlink" Target="http://www.nsac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a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NSA Press Release on Hurricane Preparation</vt:lpstr>
    </vt:vector>
  </TitlesOfParts>
  <Company>Microsoft</Company>
  <LinksUpToDate>false</LinksUpToDate>
  <CharactersWithSpaces>14363</CharactersWithSpaces>
  <SharedDoc>false</SharedDoc>
  <HLinks>
    <vt:vector size="6" baseType="variant">
      <vt:variant>
        <vt:i4>3407932</vt:i4>
      </vt:variant>
      <vt:variant>
        <vt:i4>0</vt:i4>
      </vt:variant>
      <vt:variant>
        <vt:i4>0</vt:i4>
      </vt:variant>
      <vt:variant>
        <vt:i4>5</vt:i4>
      </vt:variant>
      <vt:variant>
        <vt:lpwstr>http://www.nsacct.org/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Press Release on Hurricane Preparation</dc:title>
  <dc:creator>Al Rickard</dc:creator>
  <cp:lastModifiedBy>Al Rickard</cp:lastModifiedBy>
  <cp:revision>7</cp:revision>
  <dcterms:created xsi:type="dcterms:W3CDTF">2013-11-08T20:02:00Z</dcterms:created>
  <dcterms:modified xsi:type="dcterms:W3CDTF">2013-11-19T22:11:00Z</dcterms:modified>
</cp:coreProperties>
</file>